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F3" w:rsidRPr="00FB1FE7" w:rsidRDefault="00660F29" w:rsidP="00BE596F">
      <w:pPr>
        <w:pStyle w:val="BodyText3"/>
        <w:jc w:val="right"/>
        <w:rPr>
          <w:rFonts w:ascii="Verdana" w:hAnsi="Verdana"/>
          <w:sz w:val="28"/>
          <w:szCs w:val="28"/>
          <w:lang w:val="es-ES_tradnl"/>
        </w:rPr>
      </w:pPr>
      <w:r w:rsidRPr="00FB1FE7">
        <w:rPr>
          <w:noProof/>
          <w:lang w:eastAsia="en-GB"/>
        </w:rPr>
        <w:drawing>
          <wp:inline distT="0" distB="0" distL="0" distR="0" wp14:anchorId="42E4F89A" wp14:editId="6521F18D">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5C03F3" w:rsidRPr="00FB1FE7" w:rsidRDefault="005C03F3" w:rsidP="00BE596F">
      <w:pPr>
        <w:pStyle w:val="BodyText3"/>
        <w:jc w:val="both"/>
        <w:rPr>
          <w:rFonts w:ascii="Verdana" w:hAnsi="Verdana"/>
          <w:sz w:val="28"/>
          <w:szCs w:val="28"/>
          <w:lang w:val="es-ES_tradnl"/>
        </w:rPr>
      </w:pPr>
    </w:p>
    <w:p w:rsidR="005C03F3" w:rsidRPr="00FB1FE7" w:rsidRDefault="005C03F3" w:rsidP="00BE596F">
      <w:pPr>
        <w:pStyle w:val="BodyText3"/>
        <w:jc w:val="both"/>
        <w:rPr>
          <w:rFonts w:ascii="Verdana" w:hAnsi="Verdana"/>
          <w:sz w:val="28"/>
          <w:szCs w:val="28"/>
          <w:lang w:val="es-ES_tradnl"/>
        </w:rPr>
      </w:pPr>
    </w:p>
    <w:p w:rsidR="005C03F3" w:rsidRPr="00FB1FE7" w:rsidRDefault="005C03F3" w:rsidP="00BE596F">
      <w:pPr>
        <w:pStyle w:val="BodyText3"/>
        <w:jc w:val="both"/>
        <w:rPr>
          <w:rFonts w:ascii="Verdana" w:hAnsi="Verdana"/>
          <w:sz w:val="28"/>
          <w:szCs w:val="28"/>
          <w:lang w:val="es-ES_tradnl"/>
        </w:rPr>
      </w:pPr>
    </w:p>
    <w:p w:rsidR="005C03F3" w:rsidRPr="00FB1FE7" w:rsidRDefault="005C03F3" w:rsidP="00BE596F">
      <w:pPr>
        <w:pStyle w:val="BodyText3"/>
        <w:jc w:val="both"/>
        <w:rPr>
          <w:rFonts w:ascii="Verdana" w:hAnsi="Verdana"/>
          <w:sz w:val="28"/>
          <w:szCs w:val="28"/>
          <w:lang w:val="es-ES_tradnl"/>
        </w:rPr>
      </w:pPr>
    </w:p>
    <w:p w:rsidR="00120270" w:rsidRPr="00FB1FE7" w:rsidRDefault="00120270" w:rsidP="00BE596F">
      <w:pPr>
        <w:pStyle w:val="BodyText3"/>
        <w:rPr>
          <w:rFonts w:ascii="Verdana" w:hAnsi="Verdana"/>
          <w:color w:val="1F497D"/>
          <w:sz w:val="28"/>
          <w:szCs w:val="28"/>
          <w:lang w:val="es-ES_tradnl"/>
        </w:rPr>
      </w:pPr>
      <w:r w:rsidRPr="00FB1FE7">
        <w:rPr>
          <w:rFonts w:ascii="Verdana" w:hAnsi="Verdana"/>
          <w:color w:val="1F497D"/>
          <w:sz w:val="28"/>
          <w:szCs w:val="28"/>
          <w:lang w:val="es-ES_tradnl"/>
        </w:rPr>
        <w:t>Guía europea de buenas prácticas en la fabricación industrial de materias primas seguras para piensos</w:t>
      </w:r>
    </w:p>
    <w:p w:rsidR="00120270" w:rsidRPr="00FB1FE7" w:rsidRDefault="00120270" w:rsidP="00BE596F">
      <w:pPr>
        <w:rPr>
          <w:rFonts w:ascii="Verdana" w:hAnsi="Verdana" w:cs="Tahoma"/>
          <w:b/>
          <w:color w:val="4F81BD"/>
          <w:sz w:val="48"/>
          <w:szCs w:val="48"/>
          <w:lang w:val="es-ES_tradnl"/>
        </w:rPr>
      </w:pPr>
      <w:r w:rsidRPr="00FB1FE7">
        <w:rPr>
          <w:rFonts w:ascii="Verdana" w:hAnsi="Verdana" w:cs="Tahoma"/>
          <w:b/>
          <w:color w:val="4F81BD"/>
          <w:sz w:val="48"/>
          <w:szCs w:val="48"/>
          <w:lang w:val="es-ES_tradnl"/>
        </w:rPr>
        <w:t xml:space="preserve">Documento de referencia del sector sobre la fabricación de materias primas seguras para piensos mediante el procesamiento de biodiésel </w:t>
      </w:r>
    </w:p>
    <w:p w:rsidR="00120270" w:rsidRPr="00FB1FE7" w:rsidRDefault="00120270" w:rsidP="00BE596F">
      <w:pPr>
        <w:jc w:val="both"/>
        <w:rPr>
          <w:rFonts w:ascii="Verdana" w:hAnsi="Verdana"/>
          <w:b/>
          <w:color w:val="1F497D"/>
          <w:sz w:val="28"/>
          <w:szCs w:val="28"/>
          <w:lang w:val="es-ES_tradnl"/>
        </w:rPr>
      </w:pPr>
    </w:p>
    <w:p w:rsidR="00120270" w:rsidRPr="00FB1FE7" w:rsidRDefault="00120270" w:rsidP="00BE596F">
      <w:pPr>
        <w:jc w:val="both"/>
        <w:rPr>
          <w:rFonts w:ascii="Verdana" w:hAnsi="Verdana"/>
          <w:b/>
          <w:color w:val="1F497D"/>
          <w:sz w:val="28"/>
          <w:szCs w:val="28"/>
          <w:lang w:val="es-ES_tradnl"/>
        </w:rPr>
      </w:pPr>
      <w:r w:rsidRPr="00FB1FE7">
        <w:rPr>
          <w:rFonts w:ascii="Verdana" w:hAnsi="Verdana"/>
          <w:b/>
          <w:color w:val="1F497D"/>
          <w:sz w:val="28"/>
          <w:szCs w:val="28"/>
          <w:lang w:val="es-ES_tradnl"/>
        </w:rPr>
        <w:t>Versión 1.1</w:t>
      </w:r>
    </w:p>
    <w:p w:rsidR="00120270" w:rsidRPr="00FB1FE7" w:rsidRDefault="00120270" w:rsidP="00BE596F">
      <w:pPr>
        <w:jc w:val="both"/>
        <w:rPr>
          <w:rFonts w:ascii="Verdana" w:hAnsi="Verdana"/>
          <w:b/>
          <w:color w:val="1F497D"/>
          <w:sz w:val="28"/>
          <w:szCs w:val="28"/>
          <w:lang w:val="es-ES_tradnl"/>
        </w:rPr>
      </w:pPr>
      <w:r w:rsidRPr="00FB1FE7">
        <w:rPr>
          <w:rFonts w:ascii="Verdana" w:hAnsi="Verdana"/>
          <w:b/>
          <w:color w:val="1F497D"/>
          <w:sz w:val="28"/>
          <w:szCs w:val="28"/>
          <w:lang w:val="es-ES_tradnl"/>
        </w:rPr>
        <w:t>Con efectos a partir de noviembre de 2014</w:t>
      </w:r>
    </w:p>
    <w:p w:rsidR="005C03F3" w:rsidRPr="00FB1FE7" w:rsidRDefault="00660F29" w:rsidP="00BE596F">
      <w:pPr>
        <w:rPr>
          <w:rFonts w:ascii="Verdana" w:hAnsi="Verdana"/>
          <w:b/>
          <w:color w:val="808080"/>
          <w:sz w:val="28"/>
          <w:szCs w:val="28"/>
          <w:lang w:val="es-ES_tradnl"/>
        </w:rPr>
      </w:pPr>
      <w:r w:rsidRPr="00FB1FE7">
        <w:rPr>
          <w:rFonts w:ascii="Verdana" w:hAnsi="Verdana"/>
          <w:b/>
          <w:color w:val="808080"/>
          <w:sz w:val="28"/>
          <w:szCs w:val="28"/>
          <w:lang w:val="es-ES_tradnl"/>
        </w:rPr>
        <w:br w:type="page"/>
      </w:r>
      <w:r w:rsidR="0015798E" w:rsidRPr="00FB1FE7">
        <w:rPr>
          <w:rFonts w:ascii="Verdana" w:hAnsi="Verdana"/>
          <w:b/>
          <w:color w:val="808080"/>
          <w:sz w:val="28"/>
          <w:szCs w:val="28"/>
          <w:lang w:val="es-ES_tradnl"/>
        </w:rPr>
        <w:lastRenderedPageBreak/>
        <w:t xml:space="preserve">Sectores </w:t>
      </w:r>
      <w:r w:rsidR="005C03F3" w:rsidRPr="00FB1FE7">
        <w:rPr>
          <w:rFonts w:ascii="Verdana" w:hAnsi="Verdana"/>
          <w:b/>
          <w:color w:val="808080"/>
          <w:sz w:val="28"/>
          <w:szCs w:val="28"/>
          <w:lang w:val="es-ES_tradnl"/>
        </w:rPr>
        <w:t>incluidos en la Guía europea</w:t>
      </w:r>
    </w:p>
    <w:p w:rsidR="0015798E" w:rsidRPr="00FB1FE7" w:rsidRDefault="0015798E" w:rsidP="00BE596F">
      <w:pPr>
        <w:rPr>
          <w:rFonts w:ascii="Verdana" w:hAnsi="Verdana"/>
          <w:b/>
          <w:color w:val="808080"/>
          <w:sz w:val="28"/>
          <w:szCs w:val="28"/>
          <w:lang w:val="es-ES_tradnl"/>
        </w:rPr>
      </w:pPr>
    </w:p>
    <w:p w:rsidR="005C03F3" w:rsidRPr="00FB1FE7" w:rsidRDefault="005C03F3" w:rsidP="00BE596F">
      <w:pPr>
        <w:pBdr>
          <w:top w:val="single" w:sz="4" w:space="1" w:color="auto"/>
          <w:left w:val="single" w:sz="4" w:space="4" w:color="auto"/>
          <w:bottom w:val="single" w:sz="4" w:space="0" w:color="auto"/>
          <w:right w:val="single" w:sz="4" w:space="4" w:color="auto"/>
        </w:pBdr>
        <w:shd w:val="clear" w:color="auto" w:fill="FDE9D9"/>
        <w:rPr>
          <w:rFonts w:ascii="Verdana" w:hAnsi="Verdana"/>
          <w:lang w:val="es-ES_tradnl"/>
        </w:rPr>
      </w:pPr>
    </w:p>
    <w:p w:rsidR="005C03F3" w:rsidRPr="00FB1FE7" w:rsidRDefault="005C03F3" w:rsidP="00BE596F">
      <w:pPr>
        <w:pBdr>
          <w:top w:val="single" w:sz="4" w:space="1" w:color="auto"/>
          <w:left w:val="single" w:sz="4" w:space="4" w:color="auto"/>
          <w:bottom w:val="single" w:sz="4" w:space="0" w:color="auto"/>
          <w:right w:val="single" w:sz="4" w:space="4" w:color="auto"/>
        </w:pBdr>
        <w:shd w:val="clear" w:color="auto" w:fill="FDE9D9"/>
        <w:rPr>
          <w:rFonts w:ascii="Verdana" w:hAnsi="Verdana"/>
          <w:lang w:val="es-ES_tradnl"/>
        </w:rPr>
      </w:pPr>
      <w:r w:rsidRPr="00FB1FE7">
        <w:rPr>
          <w:rFonts w:ascii="Verdana" w:hAnsi="Verdana"/>
          <w:lang w:val="es-ES_tradnl"/>
        </w:rPr>
        <w:t>Las organizaciones sectoriales europeas, en colaboración con EFISC, han elaborado los siguientes documentos relativos a sectores específicos:</w:t>
      </w:r>
    </w:p>
    <w:p w:rsidR="005C03F3" w:rsidRPr="00FB1FE7" w:rsidRDefault="005C03F3" w:rsidP="00BE596F">
      <w:pPr>
        <w:pBdr>
          <w:top w:val="single" w:sz="4" w:space="1" w:color="auto"/>
          <w:left w:val="single" w:sz="4" w:space="4" w:color="auto"/>
          <w:bottom w:val="single" w:sz="4" w:space="0" w:color="auto"/>
          <w:right w:val="single" w:sz="4" w:space="4" w:color="auto"/>
        </w:pBdr>
        <w:shd w:val="clear" w:color="auto" w:fill="FDE9D9"/>
        <w:rPr>
          <w:rFonts w:ascii="Verdana" w:hAnsi="Verdana"/>
          <w:lang w:val="es-ES_tradnl"/>
        </w:rPr>
      </w:pPr>
    </w:p>
    <w:p w:rsidR="005C03F3" w:rsidRPr="00FB1FE7" w:rsidRDefault="000B5BA0" w:rsidP="00BE596F">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lang w:val="es-ES_tradnl"/>
        </w:rPr>
      </w:pPr>
      <w:hyperlink r:id="rId10" w:history="1">
        <w:r w:rsidR="00B8437E" w:rsidRPr="00FB1FE7">
          <w:rPr>
            <w:rStyle w:val="Hyperlink"/>
            <w:rFonts w:ascii="Verdana" w:hAnsi="Verdana"/>
            <w:lang w:val="es-ES_tradnl"/>
          </w:rPr>
          <w:t>Starch Europe</w:t>
        </w:r>
      </w:hyperlink>
      <w:r w:rsidR="00B8437E" w:rsidRPr="00FB1FE7">
        <w:rPr>
          <w:rFonts w:ascii="Verdana" w:hAnsi="Verdana"/>
          <w:lang w:val="es-ES_tradnl"/>
        </w:rPr>
        <w:tab/>
      </w:r>
      <w:r w:rsidR="005C03F3" w:rsidRPr="00FB1FE7">
        <w:rPr>
          <w:rFonts w:ascii="Verdana" w:hAnsi="Verdana"/>
          <w:lang w:val="es-ES_tradnl"/>
        </w:rPr>
        <w:t>Documento de referencia del sector sobre la fabricación de materias primas seguras para piensos mediante el procesamiento de almidón y fécula</w:t>
      </w:r>
    </w:p>
    <w:p w:rsidR="005C03F3" w:rsidRPr="00FB1FE7" w:rsidRDefault="000B5BA0" w:rsidP="00BE596F">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lang w:val="es-ES_tradnl"/>
        </w:rPr>
      </w:pPr>
      <w:hyperlink r:id="rId11" w:history="1">
        <w:r w:rsidR="005C03F3" w:rsidRPr="00FB1FE7">
          <w:rPr>
            <w:rStyle w:val="Hyperlink"/>
            <w:rFonts w:ascii="Verdana" w:hAnsi="Verdana"/>
            <w:lang w:val="es-ES_tradnl"/>
          </w:rPr>
          <w:t>FEDIOL</w:t>
        </w:r>
      </w:hyperlink>
      <w:r w:rsidR="005C03F3" w:rsidRPr="00FB1FE7">
        <w:rPr>
          <w:rFonts w:ascii="Verdana" w:hAnsi="Verdana"/>
          <w:lang w:val="es-ES_tradnl"/>
        </w:rPr>
        <w:t xml:space="preserve"> </w:t>
      </w:r>
      <w:r w:rsidR="005C03F3" w:rsidRPr="00FB1FE7">
        <w:rPr>
          <w:rFonts w:ascii="Verdana" w:hAnsi="Verdana"/>
          <w:lang w:val="es-ES_tradnl"/>
        </w:rPr>
        <w:tab/>
        <w:t>Documento de referencia del sector sobre la fabricación de materiales seguros para piensos mediante la molienda de semillas oleaginosas y el refinado del aceite vegetal</w:t>
      </w:r>
    </w:p>
    <w:p w:rsidR="005C03F3" w:rsidRPr="00FB1FE7" w:rsidRDefault="000B5BA0" w:rsidP="00BE596F">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lang w:val="es-ES_tradnl"/>
        </w:rPr>
      </w:pPr>
      <w:hyperlink r:id="rId12" w:history="1">
        <w:r w:rsidR="005C03F3" w:rsidRPr="00FB1FE7">
          <w:rPr>
            <w:rStyle w:val="Hyperlink"/>
            <w:rFonts w:ascii="Verdana" w:hAnsi="Verdana"/>
            <w:b/>
            <w:lang w:val="es-ES_tradnl"/>
          </w:rPr>
          <w:t>EBB</w:t>
        </w:r>
      </w:hyperlink>
      <w:r w:rsidR="00673F18" w:rsidRPr="00FB1FE7">
        <w:rPr>
          <w:rFonts w:ascii="Verdana" w:hAnsi="Verdana"/>
          <w:b/>
          <w:lang w:val="es-ES_tradnl"/>
        </w:rPr>
        <w:tab/>
      </w:r>
      <w:r w:rsidR="005C03F3" w:rsidRPr="00FB1FE7">
        <w:rPr>
          <w:rFonts w:ascii="Verdana" w:hAnsi="Verdana"/>
          <w:b/>
          <w:lang w:val="es-ES_tradnl"/>
        </w:rPr>
        <w:t>Documento de referencia del sector sobre la fabricación de materias primas seguras para piensos mediante el procesamiento de biodiésel</w:t>
      </w:r>
    </w:p>
    <w:p w:rsidR="005C03F3" w:rsidRPr="00FB1FE7" w:rsidRDefault="005C03F3" w:rsidP="00BE596F">
      <w:pPr>
        <w:pBdr>
          <w:top w:val="single" w:sz="4" w:space="1" w:color="auto"/>
          <w:left w:val="single" w:sz="4" w:space="4" w:color="auto"/>
          <w:bottom w:val="single" w:sz="4" w:space="0" w:color="auto"/>
          <w:right w:val="single" w:sz="4" w:space="4" w:color="auto"/>
        </w:pBdr>
        <w:shd w:val="clear" w:color="auto" w:fill="FDE9D9"/>
        <w:rPr>
          <w:rFonts w:ascii="Verdana" w:hAnsi="Verdana"/>
          <w:lang w:val="es-ES_tradnl"/>
        </w:rPr>
      </w:pPr>
    </w:p>
    <w:p w:rsidR="005C03F3" w:rsidRPr="00FB1FE7" w:rsidRDefault="005C03F3" w:rsidP="00BE596F">
      <w:pPr>
        <w:pBdr>
          <w:top w:val="single" w:sz="4" w:space="1" w:color="auto"/>
          <w:left w:val="single" w:sz="4" w:space="4" w:color="auto"/>
          <w:bottom w:val="single" w:sz="4" w:space="0" w:color="auto"/>
          <w:right w:val="single" w:sz="4" w:space="4" w:color="auto"/>
        </w:pBdr>
        <w:shd w:val="clear" w:color="auto" w:fill="FDE9D9"/>
        <w:rPr>
          <w:rFonts w:ascii="Verdana" w:hAnsi="Verdana"/>
          <w:lang w:val="es-ES_tradnl"/>
        </w:rPr>
      </w:pPr>
      <w:r w:rsidRPr="00FB1FE7">
        <w:rPr>
          <w:rFonts w:ascii="Verdana" w:hAnsi="Verdana"/>
          <w:lang w:val="es-ES_tradnl"/>
        </w:rPr>
        <w:t>Esta Guía europea está abierta a otros fabricantes de materias primas para piensos que deseen elaborar un documento relativo a un sector específico.</w:t>
      </w:r>
    </w:p>
    <w:p w:rsidR="005C03F3" w:rsidRPr="00FB1FE7" w:rsidRDefault="005C03F3" w:rsidP="00673F18">
      <w:pPr>
        <w:spacing w:before="120" w:after="120"/>
        <w:rPr>
          <w:rFonts w:ascii="Verdana" w:hAnsi="Verdana"/>
          <w:b/>
          <w:color w:val="808080"/>
          <w:sz w:val="22"/>
          <w:szCs w:val="22"/>
          <w:lang w:val="es-ES_tradnl"/>
        </w:rPr>
      </w:pPr>
      <w:r w:rsidRPr="00FB1FE7">
        <w:rPr>
          <w:rFonts w:ascii="Verdana" w:hAnsi="Verdana"/>
          <w:b/>
          <w:color w:val="808080"/>
          <w:sz w:val="22"/>
          <w:szCs w:val="22"/>
          <w:lang w:val="es-ES_tradnl"/>
        </w:rPr>
        <w:t>Información sobre el EBB</w:t>
      </w:r>
      <w:r w:rsidRPr="00FB1FE7">
        <w:rPr>
          <w:lang w:val="es-ES_tradnl"/>
        </w:rPr>
        <w:t xml:space="preserve"> </w:t>
      </w:r>
    </w:p>
    <w:p w:rsidR="005C03F3" w:rsidRPr="00FB1FE7" w:rsidRDefault="005C03F3" w:rsidP="00673F18">
      <w:pPr>
        <w:spacing w:after="120"/>
        <w:rPr>
          <w:rFonts w:ascii="Verdana" w:hAnsi="Verdana"/>
          <w:sz w:val="22"/>
          <w:szCs w:val="22"/>
          <w:lang w:val="es-ES_tradnl"/>
        </w:rPr>
      </w:pPr>
      <w:r w:rsidRPr="00FB1FE7">
        <w:rPr>
          <w:rFonts w:ascii="Verdana" w:hAnsi="Verdana"/>
          <w:sz w:val="22"/>
          <w:szCs w:val="22"/>
          <w:lang w:val="es-ES_tradnl"/>
        </w:rPr>
        <w:t>Datos de contacto:</w:t>
      </w:r>
    </w:p>
    <w:p w:rsidR="005C03F3" w:rsidRPr="00FB1FE7" w:rsidRDefault="005C03F3" w:rsidP="00BE596F">
      <w:pPr>
        <w:rPr>
          <w:rFonts w:ascii="Verdana" w:hAnsi="Verdana"/>
          <w:bCs/>
          <w:color w:val="006633"/>
          <w:sz w:val="22"/>
          <w:szCs w:val="22"/>
          <w:lang w:val="es-ES_tradnl" w:eastAsia="en-GB"/>
        </w:rPr>
      </w:pPr>
      <w:r w:rsidRPr="00FB1FE7">
        <w:rPr>
          <w:rFonts w:ascii="Verdana" w:hAnsi="Verdana"/>
          <w:bCs/>
          <w:color w:val="006633"/>
          <w:sz w:val="22"/>
          <w:szCs w:val="22"/>
          <w:lang w:val="es-ES_tradnl"/>
        </w:rPr>
        <w:t>Consejo Europeo del Biodiésel (EBB)</w:t>
      </w:r>
      <w:r w:rsidRPr="00FB1FE7">
        <w:rPr>
          <w:rFonts w:ascii="Verdana" w:hAnsi="Verdana"/>
          <w:bCs/>
          <w:color w:val="006633"/>
          <w:sz w:val="22"/>
          <w:szCs w:val="22"/>
          <w:lang w:val="es-ES_tradnl"/>
        </w:rPr>
        <w:tab/>
      </w:r>
      <w:r w:rsidR="00660F29" w:rsidRPr="00FB1FE7">
        <w:rPr>
          <w:rFonts w:ascii="Verdana" w:hAnsi="Verdana"/>
          <w:b/>
          <w:bCs/>
          <w:color w:val="006633"/>
          <w:sz w:val="32"/>
          <w:szCs w:val="32"/>
          <w:lang w:val="es-ES_tradnl"/>
        </w:rPr>
        <w:t>EBB</w:t>
      </w:r>
      <w:r w:rsidRPr="00FB1FE7">
        <w:rPr>
          <w:rFonts w:ascii="Verdana" w:hAnsi="Verdana"/>
          <w:bCs/>
          <w:color w:val="006633"/>
          <w:sz w:val="22"/>
          <w:szCs w:val="22"/>
          <w:lang w:val="es-ES_tradnl"/>
        </w:rPr>
        <w:br/>
        <w:t xml:space="preserve">Boulevard Saint Michel 34 </w:t>
      </w:r>
      <w:r w:rsidRPr="00FB1FE7">
        <w:rPr>
          <w:rFonts w:ascii="Verdana" w:hAnsi="Verdana"/>
          <w:bCs/>
          <w:color w:val="006633"/>
          <w:sz w:val="22"/>
          <w:szCs w:val="22"/>
          <w:lang w:val="es-ES_tradnl"/>
        </w:rPr>
        <w:tab/>
      </w:r>
      <w:r w:rsidRPr="00FB1FE7">
        <w:rPr>
          <w:rFonts w:ascii="Verdana" w:hAnsi="Verdana"/>
          <w:bCs/>
          <w:color w:val="006633"/>
          <w:sz w:val="22"/>
          <w:szCs w:val="22"/>
          <w:lang w:val="es-ES_tradnl"/>
        </w:rPr>
        <w:tab/>
      </w:r>
      <w:r w:rsidR="00660F29" w:rsidRPr="00FB1FE7">
        <w:rPr>
          <w:rFonts w:ascii="Verdana" w:hAnsi="Verdana"/>
          <w:bCs/>
          <w:color w:val="006633"/>
          <w:sz w:val="28"/>
          <w:szCs w:val="28"/>
          <w:lang w:val="es-ES_tradnl"/>
        </w:rPr>
        <w:t>European Biodiesel Board</w:t>
      </w:r>
      <w:r w:rsidRPr="00FB1FE7">
        <w:rPr>
          <w:rFonts w:ascii="Verdana" w:hAnsi="Verdana"/>
          <w:bCs/>
          <w:color w:val="006633"/>
          <w:sz w:val="22"/>
          <w:szCs w:val="22"/>
          <w:lang w:val="es-ES_tradnl"/>
        </w:rPr>
        <w:br/>
        <w:t>1040 Bruselas, Bélgica</w:t>
      </w:r>
      <w:r w:rsidRPr="00FB1FE7">
        <w:rPr>
          <w:rFonts w:ascii="Verdana" w:hAnsi="Verdana"/>
          <w:bCs/>
          <w:color w:val="006633"/>
          <w:sz w:val="22"/>
          <w:szCs w:val="22"/>
          <w:lang w:val="es-ES_tradnl"/>
        </w:rPr>
        <w:br/>
        <w:t>Tel: +32 2763</w:t>
      </w:r>
      <w:r w:rsidR="00C66153" w:rsidRPr="00FB1FE7">
        <w:rPr>
          <w:rFonts w:ascii="Verdana" w:hAnsi="Verdana"/>
          <w:bCs/>
          <w:color w:val="006633"/>
          <w:sz w:val="22"/>
          <w:szCs w:val="22"/>
          <w:lang w:val="es-ES_tradnl"/>
        </w:rPr>
        <w:t xml:space="preserve"> </w:t>
      </w:r>
      <w:r w:rsidRPr="00FB1FE7">
        <w:rPr>
          <w:rFonts w:ascii="Verdana" w:hAnsi="Verdana"/>
          <w:bCs/>
          <w:color w:val="006633"/>
          <w:sz w:val="22"/>
          <w:szCs w:val="22"/>
          <w:lang w:val="es-ES_tradnl"/>
        </w:rPr>
        <w:t>2477</w:t>
      </w:r>
      <w:r w:rsidRPr="00FB1FE7">
        <w:rPr>
          <w:rFonts w:ascii="Verdana" w:hAnsi="Verdana"/>
          <w:bCs/>
          <w:color w:val="006633"/>
          <w:sz w:val="22"/>
          <w:szCs w:val="22"/>
          <w:lang w:val="es-ES_tradnl"/>
        </w:rPr>
        <w:br/>
        <w:t xml:space="preserve">Fax: +32 </w:t>
      </w:r>
      <w:r w:rsidR="00C66153" w:rsidRPr="00FB1FE7">
        <w:rPr>
          <w:rFonts w:ascii="Verdana" w:hAnsi="Verdana"/>
          <w:bCs/>
          <w:color w:val="006633"/>
          <w:sz w:val="22"/>
          <w:szCs w:val="22"/>
          <w:lang w:val="es-ES_tradnl"/>
        </w:rPr>
        <w:t>2</w:t>
      </w:r>
      <w:r w:rsidRPr="00FB1FE7">
        <w:rPr>
          <w:rFonts w:ascii="Verdana" w:hAnsi="Verdana"/>
          <w:bCs/>
          <w:color w:val="006633"/>
          <w:sz w:val="22"/>
          <w:szCs w:val="22"/>
          <w:lang w:val="es-ES_tradnl"/>
        </w:rPr>
        <w:t>763</w:t>
      </w:r>
      <w:r w:rsidR="00C66153" w:rsidRPr="00FB1FE7">
        <w:rPr>
          <w:rFonts w:ascii="Verdana" w:hAnsi="Verdana"/>
          <w:bCs/>
          <w:color w:val="006633"/>
          <w:sz w:val="22"/>
          <w:szCs w:val="22"/>
          <w:lang w:val="es-ES_tradnl"/>
        </w:rPr>
        <w:t xml:space="preserve"> </w:t>
      </w:r>
      <w:r w:rsidRPr="00FB1FE7">
        <w:rPr>
          <w:rFonts w:ascii="Verdana" w:hAnsi="Verdana"/>
          <w:bCs/>
          <w:color w:val="006633"/>
          <w:sz w:val="22"/>
          <w:szCs w:val="22"/>
          <w:lang w:val="es-ES_tradnl"/>
        </w:rPr>
        <w:t>0457</w:t>
      </w:r>
    </w:p>
    <w:p w:rsidR="005C03F3" w:rsidRPr="00FB1FE7" w:rsidRDefault="005C03F3" w:rsidP="00BE596F">
      <w:pPr>
        <w:rPr>
          <w:rFonts w:ascii="Verdana" w:hAnsi="Verdana"/>
          <w:sz w:val="22"/>
          <w:szCs w:val="22"/>
          <w:lang w:val="es-ES_tradnl"/>
        </w:rPr>
      </w:pPr>
      <w:r w:rsidRPr="00FB1FE7">
        <w:rPr>
          <w:rFonts w:ascii="Verdana" w:hAnsi="Verdana"/>
          <w:sz w:val="22"/>
          <w:szCs w:val="22"/>
          <w:lang w:val="es-ES_tradnl"/>
        </w:rPr>
        <w:t xml:space="preserve">Correo electrónico: </w:t>
      </w:r>
      <w:hyperlink r:id="rId13" w:tooltip="ebb@ebb-eu.org" w:history="1">
        <w:r w:rsidRPr="00FB1FE7">
          <w:rPr>
            <w:rStyle w:val="Hyperlink"/>
            <w:rFonts w:ascii="Verdana" w:hAnsi="Verdana"/>
            <w:sz w:val="22"/>
            <w:szCs w:val="22"/>
            <w:lang w:val="es-ES_tradnl"/>
          </w:rPr>
          <w:t>ebb@ebb-eu.org</w:t>
        </w:r>
      </w:hyperlink>
    </w:p>
    <w:p w:rsidR="004D14B9" w:rsidRPr="00FB1FE7" w:rsidRDefault="004D14B9" w:rsidP="00BE596F">
      <w:pPr>
        <w:rPr>
          <w:rFonts w:ascii="Verdana" w:hAnsi="Verdana"/>
          <w:sz w:val="22"/>
          <w:szCs w:val="22"/>
          <w:lang w:val="es-ES_tradnl" w:eastAsia="en-GB"/>
        </w:rPr>
      </w:pPr>
      <w:r w:rsidRPr="00FB1FE7">
        <w:rPr>
          <w:rFonts w:ascii="Verdana" w:hAnsi="Verdana"/>
          <w:sz w:val="22"/>
          <w:szCs w:val="22"/>
          <w:lang w:val="es-ES_tradnl"/>
        </w:rPr>
        <w:t xml:space="preserve">Sitio web: </w:t>
      </w:r>
      <w:hyperlink r:id="rId14" w:history="1">
        <w:r w:rsidRPr="00FB1FE7">
          <w:rPr>
            <w:rStyle w:val="Hyperlink"/>
            <w:rFonts w:ascii="Verdana" w:hAnsi="Verdana"/>
            <w:sz w:val="22"/>
            <w:szCs w:val="22"/>
            <w:lang w:val="es-ES_tradnl"/>
          </w:rPr>
          <w:t>www.ebb-eu.org</w:t>
        </w:r>
      </w:hyperlink>
    </w:p>
    <w:p w:rsidR="005C03F3" w:rsidRPr="00FB1FE7" w:rsidRDefault="005C03F3" w:rsidP="00BE596F">
      <w:pPr>
        <w:rPr>
          <w:rFonts w:ascii="Verdana" w:hAnsi="Verdana"/>
          <w:b/>
          <w:color w:val="808080"/>
          <w:sz w:val="22"/>
          <w:szCs w:val="22"/>
          <w:lang w:val="es-ES_tradnl"/>
        </w:rPr>
      </w:pPr>
    </w:p>
    <w:p w:rsidR="00660F29" w:rsidRPr="00FB1FE7" w:rsidRDefault="005C03F3" w:rsidP="00BE596F">
      <w:pPr>
        <w:rPr>
          <w:rFonts w:ascii="Verdana" w:hAnsi="Verdana"/>
          <w:b/>
          <w:color w:val="808080"/>
          <w:sz w:val="22"/>
          <w:szCs w:val="22"/>
          <w:lang w:val="es-ES_tradnl"/>
        </w:rPr>
      </w:pPr>
      <w:r w:rsidRPr="00FB1FE7">
        <w:rPr>
          <w:rFonts w:ascii="Verdana" w:hAnsi="Verdana"/>
          <w:b/>
          <w:color w:val="808080"/>
          <w:sz w:val="22"/>
          <w:szCs w:val="22"/>
          <w:lang w:val="es-ES_tradnl"/>
        </w:rPr>
        <w:t>Información sobre EFISC</w:t>
      </w:r>
    </w:p>
    <w:p w:rsidR="005C03F3" w:rsidRPr="00FB1FE7" w:rsidRDefault="00660F29" w:rsidP="00BE596F">
      <w:pPr>
        <w:ind w:firstLine="708"/>
        <w:jc w:val="right"/>
        <w:rPr>
          <w:rFonts w:ascii="Verdana" w:hAnsi="Verdana"/>
          <w:b/>
          <w:color w:val="1F497D" w:themeColor="text2"/>
          <w:sz w:val="36"/>
          <w:szCs w:val="36"/>
          <w:lang w:val="es-ES_tradnl"/>
        </w:rPr>
      </w:pPr>
      <w:r w:rsidRPr="00FB1FE7">
        <w:rPr>
          <w:rFonts w:ascii="Verdana" w:hAnsi="Verdana"/>
          <w:b/>
          <w:color w:val="1F497D" w:themeColor="text2"/>
          <w:sz w:val="36"/>
          <w:szCs w:val="36"/>
          <w:lang w:val="es-ES_tradnl"/>
        </w:rPr>
        <w:t>EFISC</w:t>
      </w:r>
    </w:p>
    <w:p w:rsidR="005C03F3" w:rsidRPr="00FB1FE7" w:rsidRDefault="00660F29" w:rsidP="00BE596F">
      <w:pPr>
        <w:jc w:val="right"/>
        <w:rPr>
          <w:rFonts w:ascii="Verdana" w:hAnsi="Verdana"/>
          <w:b/>
          <w:color w:val="1F497D" w:themeColor="text2"/>
          <w:sz w:val="16"/>
          <w:szCs w:val="16"/>
          <w:lang w:val="es-ES_tradnl"/>
        </w:rPr>
      </w:pPr>
      <w:r w:rsidRPr="00FB1FE7">
        <w:rPr>
          <w:rFonts w:ascii="Verdana" w:hAnsi="Verdana"/>
          <w:b/>
          <w:color w:val="1F497D" w:themeColor="text2"/>
          <w:sz w:val="16"/>
          <w:szCs w:val="16"/>
          <w:lang w:val="es-ES_tradnl"/>
        </w:rPr>
        <w:t>Certificación europea de seguridad de ingredientes para piensos</w:t>
      </w:r>
    </w:p>
    <w:p w:rsidR="005C03F3" w:rsidRPr="00FB1FE7" w:rsidRDefault="005C03F3" w:rsidP="00BE596F">
      <w:pPr>
        <w:rPr>
          <w:rFonts w:ascii="Verdana" w:hAnsi="Verdana"/>
          <w:sz w:val="22"/>
          <w:szCs w:val="22"/>
          <w:lang w:val="es-ES_tradnl"/>
        </w:rPr>
      </w:pPr>
      <w:r w:rsidRPr="00FB1FE7">
        <w:rPr>
          <w:rFonts w:ascii="Verdana" w:hAnsi="Verdana"/>
          <w:sz w:val="22"/>
          <w:szCs w:val="22"/>
          <w:lang w:val="es-ES_tradnl"/>
        </w:rPr>
        <w:t>Datos de contacto:</w:t>
      </w:r>
    </w:p>
    <w:p w:rsidR="005C03F3" w:rsidRPr="00FB1FE7" w:rsidRDefault="005C03F3" w:rsidP="00BE596F">
      <w:pPr>
        <w:rPr>
          <w:rFonts w:ascii="Verdana" w:hAnsi="Verdana"/>
          <w:sz w:val="22"/>
          <w:szCs w:val="22"/>
          <w:lang w:val="es-ES_tradnl"/>
        </w:rPr>
      </w:pPr>
    </w:p>
    <w:p w:rsidR="005C03F3" w:rsidRPr="00FB1FE7" w:rsidRDefault="005C03F3" w:rsidP="00BE596F">
      <w:pPr>
        <w:rPr>
          <w:rFonts w:ascii="Verdana" w:hAnsi="Verdana"/>
          <w:sz w:val="22"/>
          <w:szCs w:val="22"/>
          <w:lang w:val="es-ES_tradnl"/>
        </w:rPr>
      </w:pPr>
      <w:r w:rsidRPr="00FB1FE7">
        <w:rPr>
          <w:rFonts w:ascii="Verdana" w:hAnsi="Verdana"/>
          <w:sz w:val="22"/>
          <w:szCs w:val="22"/>
          <w:lang w:val="es-ES_tradnl"/>
        </w:rPr>
        <w:t>EFISC Aisbl</w:t>
      </w:r>
    </w:p>
    <w:p w:rsidR="005C03F3" w:rsidRPr="00FB1FE7" w:rsidRDefault="000F0077" w:rsidP="00BE596F">
      <w:pPr>
        <w:rPr>
          <w:rFonts w:ascii="Verdana" w:hAnsi="Verdana"/>
          <w:sz w:val="22"/>
          <w:szCs w:val="22"/>
          <w:lang w:val="es-ES_tradnl"/>
        </w:rPr>
      </w:pPr>
      <w:r w:rsidRPr="00FB1FE7">
        <w:rPr>
          <w:rFonts w:ascii="Verdana" w:hAnsi="Verdana"/>
          <w:sz w:val="22"/>
          <w:szCs w:val="22"/>
          <w:lang w:val="es-ES_tradnl"/>
        </w:rPr>
        <w:t>Avenue des Arts 43 c/o Starch Europe</w:t>
      </w:r>
    </w:p>
    <w:p w:rsidR="005C03F3" w:rsidRPr="00FB1FE7" w:rsidRDefault="005C03F3" w:rsidP="00BE596F">
      <w:pPr>
        <w:rPr>
          <w:rFonts w:ascii="Verdana" w:hAnsi="Verdana"/>
          <w:sz w:val="22"/>
          <w:szCs w:val="22"/>
          <w:lang w:val="es-ES_tradnl"/>
        </w:rPr>
      </w:pPr>
      <w:r w:rsidRPr="00FB1FE7">
        <w:rPr>
          <w:rFonts w:ascii="Verdana" w:hAnsi="Verdana"/>
          <w:sz w:val="22"/>
          <w:szCs w:val="22"/>
          <w:lang w:val="es-ES_tradnl"/>
        </w:rPr>
        <w:t>B - 1040 Bruselas</w:t>
      </w:r>
    </w:p>
    <w:p w:rsidR="005C03F3" w:rsidRPr="00FB1FE7" w:rsidRDefault="005C03F3" w:rsidP="00BE596F">
      <w:pPr>
        <w:rPr>
          <w:rFonts w:ascii="Verdana" w:hAnsi="Verdana"/>
          <w:sz w:val="22"/>
          <w:szCs w:val="22"/>
          <w:lang w:val="es-ES_tradnl"/>
        </w:rPr>
      </w:pPr>
      <w:r w:rsidRPr="00FB1FE7">
        <w:rPr>
          <w:rFonts w:ascii="Verdana" w:hAnsi="Verdana"/>
          <w:color w:val="000000"/>
          <w:kern w:val="28"/>
          <w:sz w:val="22"/>
          <w:szCs w:val="22"/>
          <w:lang w:val="es-ES_tradnl"/>
        </w:rPr>
        <w:t>Tel.: + 32 2771</w:t>
      </w:r>
      <w:r w:rsidR="00C66153" w:rsidRPr="00FB1FE7">
        <w:rPr>
          <w:rFonts w:ascii="Verdana" w:hAnsi="Verdana"/>
          <w:color w:val="000000"/>
          <w:kern w:val="28"/>
          <w:sz w:val="22"/>
          <w:szCs w:val="22"/>
          <w:lang w:val="es-ES_tradnl"/>
        </w:rPr>
        <w:t xml:space="preserve"> </w:t>
      </w:r>
      <w:r w:rsidRPr="00FB1FE7">
        <w:rPr>
          <w:rFonts w:ascii="Verdana" w:hAnsi="Verdana"/>
          <w:color w:val="000000"/>
          <w:kern w:val="28"/>
          <w:sz w:val="22"/>
          <w:szCs w:val="22"/>
          <w:lang w:val="es-ES_tradnl"/>
        </w:rPr>
        <w:t>5330</w:t>
      </w:r>
    </w:p>
    <w:p w:rsidR="005C03F3" w:rsidRPr="00FB1FE7" w:rsidRDefault="005C03F3" w:rsidP="00BE596F">
      <w:pPr>
        <w:rPr>
          <w:rFonts w:ascii="Verdana" w:hAnsi="Verdana"/>
          <w:sz w:val="22"/>
          <w:szCs w:val="22"/>
          <w:lang w:val="es-ES_tradnl"/>
        </w:rPr>
      </w:pPr>
      <w:r w:rsidRPr="00FB1FE7">
        <w:rPr>
          <w:rFonts w:ascii="Verdana" w:hAnsi="Verdana"/>
          <w:color w:val="000000"/>
          <w:kern w:val="28"/>
          <w:sz w:val="22"/>
          <w:szCs w:val="22"/>
          <w:lang w:val="es-ES_tradnl"/>
        </w:rPr>
        <w:t>Fax: + 32 2771 3817</w:t>
      </w:r>
    </w:p>
    <w:p w:rsidR="005C03F3" w:rsidRPr="00FB1FE7" w:rsidRDefault="005C03F3" w:rsidP="00BE596F">
      <w:pPr>
        <w:rPr>
          <w:rFonts w:ascii="Verdana" w:hAnsi="Verdana"/>
          <w:sz w:val="22"/>
          <w:szCs w:val="22"/>
          <w:lang w:val="es-ES_tradnl"/>
        </w:rPr>
      </w:pPr>
      <w:r w:rsidRPr="00FB1FE7">
        <w:rPr>
          <w:rFonts w:ascii="Verdana" w:hAnsi="Verdana"/>
          <w:sz w:val="22"/>
          <w:szCs w:val="22"/>
          <w:lang w:val="es-ES_tradnl"/>
        </w:rPr>
        <w:t xml:space="preserve">Correo electrónico: </w:t>
      </w:r>
      <w:hyperlink r:id="rId15" w:history="1">
        <w:r w:rsidR="004D14B9" w:rsidRPr="00FB1FE7">
          <w:rPr>
            <w:rFonts w:ascii="Verdana" w:hAnsi="Verdana"/>
            <w:sz w:val="22"/>
            <w:szCs w:val="22"/>
            <w:lang w:val="es-ES_tradnl"/>
          </w:rPr>
          <w:t>info@efisc.eu</w:t>
        </w:r>
      </w:hyperlink>
    </w:p>
    <w:p w:rsidR="005C03F3" w:rsidRPr="00FB1FE7" w:rsidRDefault="005C03F3" w:rsidP="00BE596F">
      <w:pPr>
        <w:rPr>
          <w:rFonts w:ascii="Verdana" w:hAnsi="Verdana"/>
          <w:sz w:val="22"/>
          <w:szCs w:val="22"/>
          <w:lang w:val="es-ES_tradnl"/>
        </w:rPr>
      </w:pPr>
      <w:r w:rsidRPr="00FB1FE7">
        <w:rPr>
          <w:rFonts w:ascii="Verdana" w:hAnsi="Verdana"/>
          <w:sz w:val="22"/>
          <w:szCs w:val="22"/>
          <w:lang w:val="es-ES_tradnl"/>
        </w:rPr>
        <w:t xml:space="preserve">Sitio web: </w:t>
      </w:r>
      <w:hyperlink r:id="rId16" w:history="1">
        <w:r w:rsidRPr="00FB1FE7">
          <w:rPr>
            <w:rFonts w:ascii="Verdana" w:hAnsi="Verdana"/>
            <w:sz w:val="22"/>
            <w:szCs w:val="22"/>
            <w:lang w:val="es-ES_tradnl"/>
          </w:rPr>
          <w:t>www.efisc.eu</w:t>
        </w:r>
      </w:hyperlink>
    </w:p>
    <w:p w:rsidR="005C03F3" w:rsidRPr="00FB1FE7" w:rsidRDefault="005C03F3" w:rsidP="00673F18">
      <w:pPr>
        <w:spacing w:after="60"/>
        <w:rPr>
          <w:rFonts w:ascii="Verdana" w:hAnsi="Verdana"/>
          <w:b/>
          <w:color w:val="808080"/>
          <w:kern w:val="28"/>
          <w:sz w:val="22"/>
          <w:szCs w:val="22"/>
          <w:lang w:val="es-ES_tradnl"/>
        </w:rPr>
      </w:pPr>
    </w:p>
    <w:p w:rsidR="00416305" w:rsidRPr="00FB1FE7" w:rsidRDefault="00416305" w:rsidP="00673F18">
      <w:pPr>
        <w:spacing w:after="60"/>
        <w:rPr>
          <w:rFonts w:ascii="Verdana" w:hAnsi="Verdana"/>
          <w:b/>
          <w:color w:val="808080"/>
          <w:kern w:val="28"/>
          <w:sz w:val="22"/>
          <w:szCs w:val="22"/>
          <w:lang w:val="es-ES_tradnl"/>
        </w:rPr>
      </w:pPr>
      <w:r w:rsidRPr="00FB1FE7">
        <w:rPr>
          <w:rFonts w:ascii="Verdana" w:hAnsi="Verdana"/>
          <w:b/>
          <w:color w:val="808080"/>
          <w:kern w:val="28"/>
          <w:sz w:val="22"/>
          <w:szCs w:val="22"/>
          <w:lang w:val="es-ES_tradnl"/>
        </w:rPr>
        <w:t>Información sobre la edición y los derechos de autor</w:t>
      </w:r>
    </w:p>
    <w:p w:rsidR="00416305" w:rsidRPr="00FB1FE7" w:rsidRDefault="00416305" w:rsidP="00673F18">
      <w:pPr>
        <w:spacing w:after="60"/>
        <w:rPr>
          <w:rFonts w:ascii="Verdana" w:hAnsi="Verdana"/>
          <w:sz w:val="22"/>
          <w:szCs w:val="22"/>
          <w:lang w:val="es-ES_tradnl"/>
        </w:rPr>
      </w:pPr>
      <w:r w:rsidRPr="00FB1FE7">
        <w:rPr>
          <w:rFonts w:ascii="Verdana" w:hAnsi="Verdana"/>
          <w:sz w:val="22"/>
          <w:szCs w:val="22"/>
          <w:lang w:val="es-ES_tradnl"/>
        </w:rPr>
        <w:t>Reservados todos los derechos</w:t>
      </w:r>
      <w:r w:rsidRPr="00FB1FE7">
        <w:rPr>
          <w:rFonts w:ascii="Verdana" w:hAnsi="Verdana"/>
          <w:color w:val="1F497D"/>
          <w:sz w:val="22"/>
          <w:szCs w:val="22"/>
          <w:lang w:val="es-ES_tradnl"/>
        </w:rPr>
        <w:t xml:space="preserve"> </w:t>
      </w:r>
      <w:r w:rsidRPr="00FB1FE7">
        <w:rPr>
          <w:rFonts w:ascii="Verdana" w:hAnsi="Verdana"/>
          <w:sz w:val="22"/>
          <w:szCs w:val="22"/>
          <w:lang w:val="es-ES_tradnl"/>
        </w:rPr>
        <w:t>©EFISC Aisbl</w:t>
      </w:r>
    </w:p>
    <w:p w:rsidR="00416305" w:rsidRPr="00FB1FE7" w:rsidRDefault="00416305" w:rsidP="00673F18">
      <w:pPr>
        <w:spacing w:after="60"/>
        <w:rPr>
          <w:rFonts w:ascii="Verdana" w:hAnsi="Verdana"/>
          <w:color w:val="000000"/>
          <w:kern w:val="28"/>
          <w:sz w:val="22"/>
          <w:szCs w:val="22"/>
          <w:lang w:val="es-ES_tradnl"/>
        </w:rPr>
      </w:pPr>
      <w:r w:rsidRPr="00FB1FE7">
        <w:rPr>
          <w:rFonts w:ascii="Verdana" w:hAnsi="Verdana"/>
          <w:color w:val="000000"/>
          <w:kern w:val="28"/>
          <w:sz w:val="22"/>
          <w:szCs w:val="22"/>
          <w:lang w:val="es-ES_tradnl"/>
        </w:rPr>
        <w:t>Versión 1.1</w:t>
      </w:r>
    </w:p>
    <w:p w:rsidR="005C03F3" w:rsidRPr="00FB1FE7" w:rsidRDefault="00416305" w:rsidP="00673F18">
      <w:pPr>
        <w:rPr>
          <w:rFonts w:ascii="Verdana" w:hAnsi="Verdana"/>
          <w:b/>
          <w:color w:val="000000"/>
          <w:kern w:val="28"/>
          <w:sz w:val="22"/>
          <w:szCs w:val="22"/>
          <w:lang w:val="es-ES_tradnl"/>
        </w:rPr>
      </w:pPr>
      <w:r w:rsidRPr="00FB1FE7">
        <w:rPr>
          <w:rFonts w:ascii="Verdana" w:hAnsi="Verdana"/>
          <w:color w:val="000000"/>
          <w:kern w:val="28"/>
          <w:sz w:val="22"/>
          <w:szCs w:val="22"/>
          <w:lang w:val="es-ES_tradnl"/>
        </w:rPr>
        <w:t>Con efectos a partir de noviembre de 2014</w:t>
      </w:r>
    </w:p>
    <w:p w:rsidR="005E187D" w:rsidRPr="00FB1FE7" w:rsidRDefault="005C03F3" w:rsidP="00BE596F">
      <w:pPr>
        <w:rPr>
          <w:rStyle w:val="Strong"/>
          <w:rFonts w:ascii="Verdana" w:hAnsi="Verdana" w:cs="Tahoma"/>
          <w:b w:val="0"/>
          <w:bCs w:val="0"/>
          <w:szCs w:val="20"/>
          <w:lang w:val="es-ES_tradnl"/>
        </w:rPr>
      </w:pPr>
      <w:r w:rsidRPr="00FB1FE7">
        <w:rPr>
          <w:rStyle w:val="Strong"/>
          <w:rFonts w:ascii="Verdana" w:hAnsi="Verdana" w:cs="Tahoma"/>
          <w:szCs w:val="20"/>
          <w:lang w:val="es-ES_tradnl"/>
        </w:rPr>
        <w:br w:type="page"/>
      </w:r>
      <w:r w:rsidR="00FB0CCD" w:rsidRPr="00FB1FE7">
        <w:rPr>
          <w:rStyle w:val="Strong"/>
          <w:rFonts w:ascii="Verdana" w:hAnsi="Verdana" w:cs="Tahoma"/>
          <w:b w:val="0"/>
          <w:bCs w:val="0"/>
          <w:szCs w:val="20"/>
          <w:lang w:val="es-ES_tradnl"/>
        </w:rPr>
        <w:lastRenderedPageBreak/>
        <w:t xml:space="preserve"> </w:t>
      </w:r>
    </w:p>
    <w:p w:rsidR="00120270" w:rsidRPr="00FB1FE7" w:rsidRDefault="00120270" w:rsidP="00BE596F">
      <w:pPr>
        <w:pBdr>
          <w:top w:val="single" w:sz="4" w:space="1" w:color="auto"/>
          <w:left w:val="single" w:sz="4" w:space="4" w:color="auto"/>
          <w:bottom w:val="single" w:sz="4" w:space="1" w:color="auto"/>
          <w:right w:val="single" w:sz="4" w:space="4" w:color="auto"/>
        </w:pBdr>
        <w:shd w:val="clear" w:color="auto" w:fill="FDE9D9"/>
        <w:jc w:val="center"/>
        <w:rPr>
          <w:rFonts w:cs="Tahoma"/>
          <w:lang w:val="es-ES_tradnl"/>
        </w:rPr>
      </w:pPr>
      <w:r w:rsidRPr="00FB1FE7">
        <w:rPr>
          <w:rFonts w:cs="Tahoma"/>
          <w:color w:val="FF0000"/>
          <w:szCs w:val="20"/>
          <w:lang w:val="es-ES_tradnl" w:eastAsia="fr-BE"/>
        </w:rPr>
        <w:t xml:space="preserve">En el presente documento de referencia del sector </w:t>
      </w:r>
      <w:r w:rsidR="00273D92" w:rsidRPr="00FB1FE7">
        <w:rPr>
          <w:rFonts w:cs="Tahoma"/>
          <w:color w:val="FF0000"/>
          <w:szCs w:val="20"/>
          <w:lang w:val="es-ES_tradnl" w:eastAsia="fr-BE"/>
        </w:rPr>
        <w:t xml:space="preserve">del biodiésel </w:t>
      </w:r>
      <w:r w:rsidRPr="00FB1FE7">
        <w:rPr>
          <w:rFonts w:cs="Tahoma"/>
          <w:color w:val="FF0000"/>
          <w:szCs w:val="20"/>
          <w:lang w:val="es-ES_tradnl" w:eastAsia="fr-BE"/>
        </w:rPr>
        <w:t>no se examinan los procesos de producción correspondientes a las grasas animales y al reciclado de aceite, ni tampoco las materias primas para piensos derivadas de estos procesos, por lo que quedarán excluidos del alcance del presente documento y de la certificación EFISC.</w:t>
      </w:r>
    </w:p>
    <w:p w:rsidR="007C2084" w:rsidRPr="00FB1FE7" w:rsidRDefault="007C2084" w:rsidP="00BE596F">
      <w:pPr>
        <w:jc w:val="both"/>
        <w:rPr>
          <w:rFonts w:ascii="Verdana" w:hAnsi="Verdana" w:cs="Tahoma"/>
          <w:szCs w:val="20"/>
          <w:lang w:val="es-ES_tradnl"/>
        </w:rPr>
      </w:pPr>
    </w:p>
    <w:p w:rsidR="00120270" w:rsidRPr="00FB1FE7" w:rsidRDefault="00120270" w:rsidP="00BE596F">
      <w:pPr>
        <w:pBdr>
          <w:top w:val="single" w:sz="4" w:space="1" w:color="auto"/>
          <w:left w:val="single" w:sz="4" w:space="4" w:color="auto"/>
          <w:bottom w:val="single" w:sz="4" w:space="1" w:color="auto"/>
          <w:right w:val="single" w:sz="4" w:space="4" w:color="auto"/>
        </w:pBdr>
        <w:jc w:val="center"/>
        <w:rPr>
          <w:rFonts w:ascii="Verdana" w:hAnsi="Verdana"/>
          <w:lang w:val="es-ES_tradnl"/>
        </w:rPr>
      </w:pPr>
      <w:r w:rsidRPr="00FB1FE7">
        <w:rPr>
          <w:rFonts w:ascii="Verdana" w:hAnsi="Verdana"/>
          <w:lang w:val="es-ES_tradnl"/>
        </w:rPr>
        <w:t>Esta evaluación del riesgo se basa en el documento de referencia sectorial de Fediol (Apéndice 4 de la Guía europea de buenas prácticas en la fabricación industrial de materias</w:t>
      </w:r>
      <w:r w:rsidR="00673F18" w:rsidRPr="00FB1FE7">
        <w:rPr>
          <w:rFonts w:ascii="Verdana" w:hAnsi="Verdana"/>
          <w:lang w:val="es-ES_tradnl"/>
        </w:rPr>
        <w:t xml:space="preserve"> </w:t>
      </w:r>
      <w:r w:rsidRPr="00FB1FE7">
        <w:rPr>
          <w:rFonts w:ascii="Verdana" w:hAnsi="Verdana"/>
          <w:lang w:val="es-ES_tradnl"/>
        </w:rPr>
        <w:t>primas seguras para piensos) relativo a la fabricación de aceites vegetales. Por consiguiente, su punto de partida es el transporte de las materias primas entrantes.</w:t>
      </w:r>
    </w:p>
    <w:p w:rsidR="00387FC1" w:rsidRPr="00FB1FE7" w:rsidRDefault="00387FC1" w:rsidP="00BE596F">
      <w:pPr>
        <w:jc w:val="both"/>
        <w:rPr>
          <w:rFonts w:ascii="Verdana" w:hAnsi="Verdana" w:cs="Tahoma"/>
          <w:szCs w:val="20"/>
          <w:lang w:val="es-ES_tradnl"/>
        </w:rPr>
      </w:pPr>
    </w:p>
    <w:p w:rsidR="00C24B83" w:rsidRPr="00FB1FE7" w:rsidRDefault="00C24B83" w:rsidP="00BE596F">
      <w:pPr>
        <w:pStyle w:val="Heading1"/>
        <w:tabs>
          <w:tab w:val="clear" w:pos="432"/>
          <w:tab w:val="num" w:pos="408"/>
        </w:tabs>
        <w:rPr>
          <w:rFonts w:ascii="Verdana" w:hAnsi="Verdana" w:cs="Tahoma"/>
          <w:lang w:val="es-ES_tradnl"/>
        </w:rPr>
      </w:pPr>
      <w:bookmarkStart w:id="0" w:name="_Toc436281165"/>
      <w:r w:rsidRPr="00FB1FE7">
        <w:rPr>
          <w:rFonts w:ascii="Verdana" w:hAnsi="Verdana" w:cs="Tahoma"/>
          <w:lang w:val="es-ES_tradnl"/>
        </w:rPr>
        <w:t>Introducción</w:t>
      </w:r>
      <w:bookmarkEnd w:id="0"/>
      <w:r w:rsidRPr="00FB1FE7">
        <w:rPr>
          <w:rFonts w:ascii="Verdana" w:hAnsi="Verdana" w:cs="Tahoma"/>
          <w:lang w:val="es-ES_tradnl"/>
        </w:rPr>
        <w:t xml:space="preserve"> </w:t>
      </w:r>
    </w:p>
    <w:p w:rsidR="00C24B83" w:rsidRPr="00FB1FE7" w:rsidRDefault="00C24B83" w:rsidP="00673F18">
      <w:pPr>
        <w:keepNext/>
        <w:rPr>
          <w:rFonts w:ascii="Verdana" w:hAnsi="Verdana"/>
          <w:lang w:val="es-ES_tradnl"/>
        </w:rPr>
      </w:pPr>
    </w:p>
    <w:p w:rsidR="00F66E5E" w:rsidRPr="00FB1FE7" w:rsidRDefault="00C24B83" w:rsidP="00BE596F">
      <w:pPr>
        <w:jc w:val="both"/>
        <w:rPr>
          <w:rFonts w:ascii="Verdana" w:hAnsi="Verdana" w:cs="Tahoma"/>
          <w:lang w:val="es-ES_tradnl"/>
        </w:rPr>
      </w:pPr>
      <w:r w:rsidRPr="00FB1FE7">
        <w:rPr>
          <w:rFonts w:ascii="Verdana" w:hAnsi="Verdana" w:cs="Tahoma"/>
          <w:lang w:val="es-ES_tradnl"/>
        </w:rPr>
        <w:t xml:space="preserve">Además de biodiésel, los miembros del Consejo Europeo del Biodiésel (en lo sucesivo EBB) elaboran una serie de coproductos utilizados para piensos y para aplicaciones técnicas. El EBB integra a cerca de 80 empresas y asociaciones afiliadas, situadas en 21 Estados miembros de la UE. </w:t>
      </w:r>
    </w:p>
    <w:p w:rsidR="00F66E5E" w:rsidRPr="00FB1FE7" w:rsidRDefault="00F66E5E" w:rsidP="00BE596F">
      <w:pPr>
        <w:jc w:val="both"/>
        <w:rPr>
          <w:rFonts w:ascii="Verdana" w:hAnsi="Verdana" w:cs="Tahoma"/>
          <w:lang w:val="es-ES_tradnl"/>
        </w:rPr>
      </w:pPr>
    </w:p>
    <w:p w:rsidR="00C24B83" w:rsidRPr="00FB1FE7" w:rsidRDefault="00C24B83" w:rsidP="00BE596F">
      <w:pPr>
        <w:pStyle w:val="NoSpacing"/>
        <w:rPr>
          <w:rFonts w:ascii="Verdana" w:hAnsi="Verdana" w:cs="Tahoma"/>
          <w:lang w:val="es-ES_tradnl"/>
        </w:rPr>
      </w:pPr>
      <w:r w:rsidRPr="00FB1FE7">
        <w:rPr>
          <w:rFonts w:ascii="Verdana" w:hAnsi="Verdana" w:cs="Tahoma"/>
          <w:lang w:val="es-ES_tradnl"/>
        </w:rPr>
        <w:t xml:space="preserve">Los miembros del EBB están comprometidos con la fabricación de materias primas seguras para piensos y con el cumplimiento de los requisitos europeos en materia de seguridad e higiene, en particular de los estipulados en el marco del Reglamento (CE) nº 183/2005, por el que se fijan requisitos en materia de higiene de los piensos, y </w:t>
      </w:r>
      <w:r w:rsidR="00273D92" w:rsidRPr="00FB1FE7">
        <w:rPr>
          <w:rFonts w:ascii="Verdana" w:hAnsi="Verdana" w:cs="Tahoma"/>
          <w:lang w:val="es-ES_tradnl"/>
        </w:rPr>
        <w:t xml:space="preserve">en el </w:t>
      </w:r>
      <w:r w:rsidRPr="00FB1FE7">
        <w:rPr>
          <w:rFonts w:ascii="Verdana" w:hAnsi="Verdana" w:cs="Tahoma"/>
          <w:lang w:val="es-ES_tradnl"/>
        </w:rPr>
        <w:t>Catálogo de materias primas para piensos (Reglamento (UE) nº 68/</w:t>
      </w:r>
      <w:r w:rsidR="00273D92" w:rsidRPr="00A24EA6">
        <w:rPr>
          <w:rFonts w:ascii="Verdana" w:hAnsi="Verdana" w:cs="Tahoma"/>
          <w:lang w:val="es-ES_tradnl"/>
        </w:rPr>
        <w:t>2013</w:t>
      </w:r>
      <w:r w:rsidRPr="00A24EA6">
        <w:rPr>
          <w:rFonts w:ascii="Verdana" w:hAnsi="Verdana" w:cs="Tahoma"/>
          <w:lang w:val="es-ES_tradnl"/>
        </w:rPr>
        <w:t>).</w:t>
      </w:r>
      <w:r w:rsidRPr="00FB1FE7">
        <w:rPr>
          <w:rFonts w:ascii="Verdana" w:hAnsi="Verdana" w:cs="Tahoma"/>
          <w:lang w:val="es-ES_tradnl"/>
        </w:rPr>
        <w:t xml:space="preserve"> </w:t>
      </w:r>
    </w:p>
    <w:p w:rsidR="00C24B83" w:rsidRPr="00FB1FE7" w:rsidRDefault="00C24B83" w:rsidP="00BE596F">
      <w:pPr>
        <w:pStyle w:val="NoSpacing"/>
        <w:rPr>
          <w:rFonts w:ascii="Verdana" w:hAnsi="Verdana" w:cs="Tahoma"/>
          <w:lang w:val="es-ES_tradnl"/>
        </w:rPr>
      </w:pPr>
    </w:p>
    <w:p w:rsidR="00C24B83" w:rsidRPr="00FB1FE7" w:rsidRDefault="00C24B83" w:rsidP="00BE596F">
      <w:pPr>
        <w:pStyle w:val="NoSpacing"/>
        <w:rPr>
          <w:rFonts w:ascii="Verdana" w:hAnsi="Verdana" w:cs="Tahoma"/>
          <w:lang w:val="es-ES_tradnl"/>
        </w:rPr>
      </w:pPr>
      <w:r w:rsidRPr="00FB1FE7">
        <w:rPr>
          <w:rFonts w:ascii="Verdana" w:hAnsi="Verdana" w:cs="Tahoma"/>
          <w:lang w:val="es-ES_tradnl"/>
        </w:rPr>
        <w:t xml:space="preserve">El biodiésel es un combustible renovable que ofrece una alternativa sostenible a los combustibles fósiles. Además de reducir las emisiones de gases de efecto invernadero en el transporte europeo, la fabricación de biodiésel permite obtener grandes cantidades de glicerina utilizada en la alimentación animal, así como otros subproductos empleados en aplicaciones técnicas. </w:t>
      </w:r>
    </w:p>
    <w:p w:rsidR="00C24B83" w:rsidRPr="00FB1FE7" w:rsidRDefault="00C24B83" w:rsidP="00BE596F">
      <w:pPr>
        <w:pStyle w:val="NoSpacing"/>
        <w:rPr>
          <w:rFonts w:ascii="Verdana" w:hAnsi="Verdana" w:cs="Tahoma"/>
          <w:lang w:val="es-ES_tradnl"/>
        </w:rPr>
      </w:pPr>
    </w:p>
    <w:p w:rsidR="007C2084" w:rsidRPr="00FB1FE7" w:rsidRDefault="00C24B83" w:rsidP="00BE596F">
      <w:pPr>
        <w:pStyle w:val="NoSpacing"/>
        <w:rPr>
          <w:rFonts w:ascii="Verdana" w:hAnsi="Verdana" w:cs="Tahoma"/>
          <w:lang w:val="es-ES_tradnl"/>
        </w:rPr>
      </w:pPr>
      <w:r w:rsidRPr="00FB1FE7">
        <w:rPr>
          <w:rFonts w:ascii="Verdana" w:hAnsi="Verdana" w:cs="Tahoma"/>
          <w:lang w:val="es-ES_tradnl"/>
        </w:rPr>
        <w:t>El siguiente documento trata de contribuir a que las instalaciones de biodiésel produzcan materias primas seguras para piensos. El EBB ha llevado a cabo evaluaciones del riesgo relativas a la cadena de fabricación de materias primas para piensos, partiendo de las principales materias primas procesadas por la industria. Estas evaluaciones ofrecen una herramienta que permitirá a los fabricantes de biodiésel analizar su propio sistema de gestión de la seguridad en materia de piensos, y les ayudarán igualmente en su diálogo sobre el control de la cadena alimentaria con clientes, proveedores y otras partes interesadas. Las evaluaciones de riesgo que incluyen medidas de control son un desarrollo ulterior del sistema HACCP y de los programas de prerrequistos que lo complementan, tal como se indica en los capítulos 5 y 6 de la Guía Europea adjunta.</w:t>
      </w:r>
    </w:p>
    <w:p w:rsidR="00EF37AB" w:rsidRPr="00FB1FE7" w:rsidRDefault="00EF37AB" w:rsidP="00BE596F">
      <w:pPr>
        <w:pStyle w:val="NoSpacing"/>
        <w:rPr>
          <w:rFonts w:ascii="Verdana" w:hAnsi="Verdana" w:cs="Tahoma"/>
          <w:lang w:val="es-ES_tradnl"/>
        </w:rPr>
      </w:pPr>
    </w:p>
    <w:p w:rsidR="00C24B83" w:rsidRPr="00FB1FE7" w:rsidRDefault="00C24B83" w:rsidP="00BE596F">
      <w:pPr>
        <w:pStyle w:val="NoSpacing"/>
        <w:rPr>
          <w:rFonts w:ascii="Verdana" w:hAnsi="Verdana" w:cs="Tahoma"/>
          <w:lang w:val="es-ES_tradnl"/>
        </w:rPr>
      </w:pPr>
      <w:r w:rsidRPr="00FB1FE7">
        <w:rPr>
          <w:rFonts w:ascii="Verdana" w:hAnsi="Verdana" w:cs="Tahoma"/>
          <w:lang w:val="es-ES_tradnl"/>
        </w:rPr>
        <w:t xml:space="preserve">El EBB desea destacar que las empresas seguirán siendo las responsables principales de suministrar piensos seguros, y que la presente evaluación del riesgo no podrá suplantar dicha responsabilidad. </w:t>
      </w:r>
    </w:p>
    <w:p w:rsidR="007207A0" w:rsidRPr="00FB1FE7" w:rsidRDefault="00387FC1" w:rsidP="00BE596F">
      <w:pPr>
        <w:jc w:val="center"/>
        <w:rPr>
          <w:rFonts w:ascii="Verdana" w:hAnsi="Verdana"/>
          <w:b/>
          <w:sz w:val="22"/>
          <w:szCs w:val="22"/>
          <w:lang w:val="es-ES_tradnl"/>
        </w:rPr>
      </w:pPr>
      <w:r w:rsidRPr="00FB1FE7">
        <w:rPr>
          <w:rFonts w:ascii="Verdana" w:hAnsi="Verdana"/>
          <w:b/>
          <w:sz w:val="22"/>
          <w:szCs w:val="22"/>
          <w:lang w:val="es-ES_tradnl"/>
        </w:rPr>
        <w:br w:type="page"/>
      </w:r>
      <w:r w:rsidR="004835CF" w:rsidRPr="00FB1FE7">
        <w:rPr>
          <w:rFonts w:ascii="Verdana" w:hAnsi="Verdana"/>
          <w:b/>
          <w:sz w:val="22"/>
          <w:szCs w:val="22"/>
          <w:lang w:val="es-ES_tradnl"/>
        </w:rPr>
        <w:lastRenderedPageBreak/>
        <w:t>Índice</w:t>
      </w:r>
    </w:p>
    <w:p w:rsidR="009054A0" w:rsidRPr="00FB1FE7" w:rsidRDefault="009054A0" w:rsidP="00BE596F">
      <w:pPr>
        <w:jc w:val="center"/>
        <w:rPr>
          <w:rFonts w:ascii="Verdana" w:hAnsi="Verdana"/>
          <w:b/>
          <w:sz w:val="22"/>
          <w:szCs w:val="22"/>
          <w:lang w:val="es-ES_tradnl"/>
        </w:rPr>
      </w:pPr>
    </w:p>
    <w:p w:rsidR="003273EF" w:rsidRPr="00FB1FE7" w:rsidRDefault="008651D8">
      <w:pPr>
        <w:pStyle w:val="TOC1"/>
        <w:rPr>
          <w:rFonts w:asciiTheme="minorHAnsi" w:eastAsiaTheme="minorEastAsia" w:hAnsiTheme="minorHAnsi" w:cstheme="minorBidi"/>
          <w:b w:val="0"/>
          <w:sz w:val="22"/>
          <w:szCs w:val="22"/>
          <w:lang w:val="es-ES" w:eastAsia="es-ES"/>
        </w:rPr>
      </w:pPr>
      <w:r w:rsidRPr="00FB1FE7">
        <w:rPr>
          <w:b w:val="0"/>
          <w:lang w:val="es-ES_tradnl"/>
        </w:rPr>
        <w:fldChar w:fldCharType="begin"/>
      </w:r>
      <w:r w:rsidR="00673F18" w:rsidRPr="00FB1FE7">
        <w:rPr>
          <w:b w:val="0"/>
          <w:lang w:val="es-ES_tradnl"/>
        </w:rPr>
        <w:instrText xml:space="preserve"> TOC \o "1-2" \h \z \u </w:instrText>
      </w:r>
      <w:r w:rsidRPr="00FB1FE7">
        <w:rPr>
          <w:b w:val="0"/>
          <w:lang w:val="es-ES_tradnl"/>
        </w:rPr>
        <w:fldChar w:fldCharType="separate"/>
      </w:r>
      <w:hyperlink w:anchor="_Toc436281165" w:history="1">
        <w:r w:rsidR="003273EF" w:rsidRPr="00FB1FE7">
          <w:rPr>
            <w:rStyle w:val="Hyperlink"/>
            <w:rFonts w:cs="Tahoma"/>
            <w:lang w:val="es-ES_tradnl"/>
          </w:rPr>
          <w:t>1.</w:t>
        </w:r>
        <w:r w:rsidR="003273EF" w:rsidRPr="00FB1FE7">
          <w:rPr>
            <w:rFonts w:asciiTheme="minorHAnsi" w:eastAsiaTheme="minorEastAsia" w:hAnsiTheme="minorHAnsi" w:cstheme="minorBidi"/>
            <w:b w:val="0"/>
            <w:sz w:val="22"/>
            <w:szCs w:val="22"/>
            <w:lang w:val="es-ES" w:eastAsia="es-ES"/>
          </w:rPr>
          <w:tab/>
        </w:r>
        <w:r w:rsidR="003273EF" w:rsidRPr="00FB1FE7">
          <w:rPr>
            <w:rStyle w:val="Hyperlink"/>
            <w:rFonts w:cs="Tahoma"/>
            <w:lang w:val="es-ES_tradnl"/>
          </w:rPr>
          <w:t>Introducción</w:t>
        </w:r>
        <w:r w:rsidR="003273EF" w:rsidRPr="00FB1FE7">
          <w:rPr>
            <w:webHidden/>
          </w:rPr>
          <w:tab/>
        </w:r>
        <w:r w:rsidRPr="00FB1FE7">
          <w:rPr>
            <w:webHidden/>
          </w:rPr>
          <w:fldChar w:fldCharType="begin"/>
        </w:r>
        <w:r w:rsidR="003273EF" w:rsidRPr="00FB1FE7">
          <w:rPr>
            <w:webHidden/>
          </w:rPr>
          <w:instrText xml:space="preserve"> PAGEREF _Toc436281165 \h </w:instrText>
        </w:r>
        <w:r w:rsidRPr="00FB1FE7">
          <w:rPr>
            <w:webHidden/>
          </w:rPr>
        </w:r>
        <w:r w:rsidRPr="00FB1FE7">
          <w:rPr>
            <w:webHidden/>
          </w:rPr>
          <w:fldChar w:fldCharType="separate"/>
        </w:r>
        <w:r w:rsidR="003273EF" w:rsidRPr="00FB1FE7">
          <w:rPr>
            <w:webHidden/>
          </w:rPr>
          <w:t>3</w:t>
        </w:r>
        <w:r w:rsidRPr="00FB1FE7">
          <w:rPr>
            <w:webHidden/>
          </w:rPr>
          <w:fldChar w:fldCharType="end"/>
        </w:r>
      </w:hyperlink>
    </w:p>
    <w:p w:rsidR="003273EF" w:rsidRPr="00FB1FE7" w:rsidRDefault="000B5BA0">
      <w:pPr>
        <w:pStyle w:val="TOC1"/>
        <w:rPr>
          <w:rFonts w:asciiTheme="minorHAnsi" w:eastAsiaTheme="minorEastAsia" w:hAnsiTheme="minorHAnsi" w:cstheme="minorBidi"/>
          <w:b w:val="0"/>
          <w:sz w:val="22"/>
          <w:szCs w:val="22"/>
          <w:lang w:val="es-ES" w:eastAsia="es-ES"/>
        </w:rPr>
      </w:pPr>
      <w:hyperlink w:anchor="_Toc436281166" w:history="1">
        <w:r w:rsidR="003273EF" w:rsidRPr="00FB1FE7">
          <w:rPr>
            <w:rStyle w:val="Hyperlink"/>
            <w:lang w:val="es-ES_tradnl"/>
          </w:rPr>
          <w:t>2.</w:t>
        </w:r>
        <w:r w:rsidR="003273EF" w:rsidRPr="00FB1FE7">
          <w:rPr>
            <w:rFonts w:asciiTheme="minorHAnsi" w:eastAsiaTheme="minorEastAsia" w:hAnsiTheme="minorHAnsi" w:cstheme="minorBidi"/>
            <w:b w:val="0"/>
            <w:sz w:val="22"/>
            <w:szCs w:val="22"/>
            <w:lang w:val="es-ES" w:eastAsia="es-ES"/>
          </w:rPr>
          <w:tab/>
        </w:r>
        <w:r w:rsidR="003273EF" w:rsidRPr="00FB1FE7">
          <w:rPr>
            <w:rStyle w:val="Hyperlink"/>
            <w:lang w:val="es-ES_tradnl"/>
          </w:rPr>
          <w:t>Lista de materias primas para piensos</w:t>
        </w:r>
        <w:r w:rsidR="003273EF" w:rsidRPr="00FB1FE7">
          <w:rPr>
            <w:webHidden/>
          </w:rPr>
          <w:tab/>
        </w:r>
        <w:r w:rsidR="008651D8" w:rsidRPr="00FB1FE7">
          <w:rPr>
            <w:webHidden/>
          </w:rPr>
          <w:fldChar w:fldCharType="begin"/>
        </w:r>
        <w:r w:rsidR="003273EF" w:rsidRPr="00FB1FE7">
          <w:rPr>
            <w:webHidden/>
          </w:rPr>
          <w:instrText xml:space="preserve"> PAGEREF _Toc436281166 \h </w:instrText>
        </w:r>
        <w:r w:rsidR="008651D8" w:rsidRPr="00FB1FE7">
          <w:rPr>
            <w:webHidden/>
          </w:rPr>
        </w:r>
        <w:r w:rsidR="008651D8" w:rsidRPr="00FB1FE7">
          <w:rPr>
            <w:webHidden/>
          </w:rPr>
          <w:fldChar w:fldCharType="separate"/>
        </w:r>
        <w:r w:rsidR="003273EF" w:rsidRPr="00FB1FE7">
          <w:rPr>
            <w:webHidden/>
          </w:rPr>
          <w:t>5</w:t>
        </w:r>
        <w:r w:rsidR="008651D8" w:rsidRPr="00FB1FE7">
          <w:rPr>
            <w:webHidden/>
          </w:rPr>
          <w:fldChar w:fldCharType="end"/>
        </w:r>
      </w:hyperlink>
    </w:p>
    <w:p w:rsidR="003273EF" w:rsidRPr="00FB1FE7" w:rsidRDefault="000B5BA0">
      <w:pPr>
        <w:pStyle w:val="TOC1"/>
        <w:rPr>
          <w:rFonts w:asciiTheme="minorHAnsi" w:eastAsiaTheme="minorEastAsia" w:hAnsiTheme="minorHAnsi" w:cstheme="minorBidi"/>
          <w:b w:val="0"/>
          <w:sz w:val="22"/>
          <w:szCs w:val="22"/>
          <w:lang w:val="es-ES" w:eastAsia="es-ES"/>
        </w:rPr>
      </w:pPr>
      <w:hyperlink w:anchor="_Toc436281167" w:history="1">
        <w:r w:rsidR="003273EF" w:rsidRPr="00FB1FE7">
          <w:rPr>
            <w:rStyle w:val="Hyperlink"/>
            <w:rFonts w:cs="Tahoma"/>
            <w:lang w:val="es-ES_tradnl"/>
          </w:rPr>
          <w:t>3.</w:t>
        </w:r>
        <w:r w:rsidR="003273EF" w:rsidRPr="00FB1FE7">
          <w:rPr>
            <w:rFonts w:asciiTheme="minorHAnsi" w:eastAsiaTheme="minorEastAsia" w:hAnsiTheme="minorHAnsi" w:cstheme="minorBidi"/>
            <w:b w:val="0"/>
            <w:sz w:val="22"/>
            <w:szCs w:val="22"/>
            <w:lang w:val="es-ES" w:eastAsia="es-ES"/>
          </w:rPr>
          <w:tab/>
        </w:r>
        <w:r w:rsidR="003273EF" w:rsidRPr="00FB1FE7">
          <w:rPr>
            <w:rStyle w:val="Hyperlink"/>
            <w:rFonts w:cs="Tahoma"/>
            <w:lang w:val="es-ES_tradnl"/>
          </w:rPr>
          <w:t>Descripción del proceso de fabricación del biodiésel</w:t>
        </w:r>
        <w:r w:rsidR="003273EF" w:rsidRPr="00FB1FE7">
          <w:rPr>
            <w:webHidden/>
          </w:rPr>
          <w:tab/>
        </w:r>
        <w:r w:rsidR="008651D8" w:rsidRPr="00FB1FE7">
          <w:rPr>
            <w:webHidden/>
          </w:rPr>
          <w:fldChar w:fldCharType="begin"/>
        </w:r>
        <w:r w:rsidR="003273EF" w:rsidRPr="00FB1FE7">
          <w:rPr>
            <w:webHidden/>
          </w:rPr>
          <w:instrText xml:space="preserve"> PAGEREF _Toc436281167 \h </w:instrText>
        </w:r>
        <w:r w:rsidR="008651D8" w:rsidRPr="00FB1FE7">
          <w:rPr>
            <w:webHidden/>
          </w:rPr>
        </w:r>
        <w:r w:rsidR="008651D8" w:rsidRPr="00FB1FE7">
          <w:rPr>
            <w:webHidden/>
          </w:rPr>
          <w:fldChar w:fldCharType="separate"/>
        </w:r>
        <w:r w:rsidR="003273EF" w:rsidRPr="00FB1FE7">
          <w:rPr>
            <w:webHidden/>
          </w:rPr>
          <w:t>7</w:t>
        </w:r>
        <w:r w:rsidR="008651D8" w:rsidRPr="00FB1FE7">
          <w:rPr>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68" w:history="1">
        <w:r w:rsidR="003273EF" w:rsidRPr="00FB1FE7">
          <w:rPr>
            <w:rStyle w:val="Hyperlink"/>
            <w:rFonts w:ascii="Verdana" w:hAnsi="Verdana"/>
            <w:noProof/>
            <w:lang w:val="es-ES_tradnl"/>
          </w:rPr>
          <w:t>3.1.</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Recepción del aceite vegetal</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_Toc436281168 \h </w:instrText>
        </w:r>
        <w:r w:rsidR="008651D8" w:rsidRPr="00FB1FE7">
          <w:rPr>
            <w:noProof/>
            <w:webHidden/>
          </w:rPr>
        </w:r>
        <w:r w:rsidR="008651D8" w:rsidRPr="00FB1FE7">
          <w:rPr>
            <w:noProof/>
            <w:webHidden/>
          </w:rPr>
          <w:fldChar w:fldCharType="separate"/>
        </w:r>
        <w:r w:rsidR="003273EF" w:rsidRPr="00FB1FE7">
          <w:rPr>
            <w:noProof/>
            <w:webHidden/>
          </w:rPr>
          <w:t>7</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69" w:history="1">
        <w:r w:rsidR="003273EF" w:rsidRPr="00FB1FE7">
          <w:rPr>
            <w:rStyle w:val="Hyperlink"/>
            <w:rFonts w:ascii="Verdana" w:hAnsi="Verdana"/>
            <w:noProof/>
            <w:lang w:val="es-ES_tradnl" w:eastAsia="en-US"/>
          </w:rPr>
          <w:t>3.2.</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Fase de reacción / Transesterificación</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_Toc436281169 \h </w:instrText>
        </w:r>
        <w:r w:rsidR="008651D8" w:rsidRPr="00FB1FE7">
          <w:rPr>
            <w:noProof/>
            <w:webHidden/>
          </w:rPr>
        </w:r>
        <w:r w:rsidR="008651D8" w:rsidRPr="00FB1FE7">
          <w:rPr>
            <w:noProof/>
            <w:webHidden/>
          </w:rPr>
          <w:fldChar w:fldCharType="separate"/>
        </w:r>
        <w:r w:rsidR="003273EF" w:rsidRPr="00FB1FE7">
          <w:rPr>
            <w:noProof/>
            <w:webHidden/>
          </w:rPr>
          <w:t>8</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0" w:history="1">
        <w:r w:rsidR="003273EF" w:rsidRPr="00FB1FE7">
          <w:rPr>
            <w:rStyle w:val="Hyperlink"/>
            <w:rFonts w:ascii="Verdana" w:hAnsi="Verdana"/>
            <w:noProof/>
            <w:lang w:val="es-ES_tradnl" w:eastAsia="en-US"/>
          </w:rPr>
          <w:t>3.3.</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Fase de separación</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_Toc436281170 \h </w:instrText>
        </w:r>
        <w:r w:rsidR="008651D8" w:rsidRPr="00FB1FE7">
          <w:rPr>
            <w:noProof/>
            <w:webHidden/>
          </w:rPr>
        </w:r>
        <w:r w:rsidR="008651D8" w:rsidRPr="00FB1FE7">
          <w:rPr>
            <w:noProof/>
            <w:webHidden/>
          </w:rPr>
          <w:fldChar w:fldCharType="separate"/>
        </w:r>
        <w:r w:rsidR="003273EF" w:rsidRPr="00FB1FE7">
          <w:rPr>
            <w:noProof/>
            <w:webHidden/>
          </w:rPr>
          <w:t>8</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1" w:history="1">
        <w:r w:rsidR="003273EF" w:rsidRPr="00FB1FE7">
          <w:rPr>
            <w:rStyle w:val="Hyperlink"/>
            <w:rFonts w:ascii="Verdana" w:hAnsi="Verdana"/>
            <w:noProof/>
            <w:lang w:val="es-ES_tradnl" w:eastAsia="en-US"/>
          </w:rPr>
          <w:t>3.4.</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Acidulación y separación de los AGL</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_Toc436281171 \h </w:instrText>
        </w:r>
        <w:r w:rsidR="008651D8" w:rsidRPr="00FB1FE7">
          <w:rPr>
            <w:noProof/>
            <w:webHidden/>
          </w:rPr>
        </w:r>
        <w:r w:rsidR="008651D8" w:rsidRPr="00FB1FE7">
          <w:rPr>
            <w:noProof/>
            <w:webHidden/>
          </w:rPr>
          <w:fldChar w:fldCharType="separate"/>
        </w:r>
        <w:r w:rsidR="003273EF" w:rsidRPr="00FB1FE7">
          <w:rPr>
            <w:noProof/>
            <w:webHidden/>
          </w:rPr>
          <w:t>8</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2" w:history="1">
        <w:r w:rsidR="003273EF" w:rsidRPr="00FB1FE7">
          <w:rPr>
            <w:rStyle w:val="Hyperlink"/>
            <w:rFonts w:ascii="Verdana" w:hAnsi="Verdana"/>
            <w:noProof/>
            <w:lang w:val="es-ES_tradnl" w:eastAsia="en-US"/>
          </w:rPr>
          <w:t>3.5.</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Neutralización de la glicerina</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_Toc436281172 \h </w:instrText>
        </w:r>
        <w:r w:rsidR="008651D8" w:rsidRPr="00FB1FE7">
          <w:rPr>
            <w:noProof/>
            <w:webHidden/>
          </w:rPr>
        </w:r>
        <w:r w:rsidR="008651D8" w:rsidRPr="00FB1FE7">
          <w:rPr>
            <w:noProof/>
            <w:webHidden/>
          </w:rPr>
          <w:fldChar w:fldCharType="separate"/>
        </w:r>
        <w:r w:rsidR="003273EF" w:rsidRPr="00FB1FE7">
          <w:rPr>
            <w:noProof/>
            <w:webHidden/>
          </w:rPr>
          <w:t>8</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3" w:history="1">
        <w:r w:rsidR="003273EF" w:rsidRPr="00FB1FE7">
          <w:rPr>
            <w:rStyle w:val="Hyperlink"/>
            <w:rFonts w:ascii="Verdana" w:hAnsi="Verdana"/>
            <w:noProof/>
            <w:lang w:val="es-ES_tradnl" w:eastAsia="en-US"/>
          </w:rPr>
          <w:t>3.6.</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Lavado del éster metílico</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_Toc436281173 \h </w:instrText>
        </w:r>
        <w:r w:rsidR="008651D8" w:rsidRPr="00FB1FE7">
          <w:rPr>
            <w:noProof/>
            <w:webHidden/>
          </w:rPr>
        </w:r>
        <w:r w:rsidR="008651D8" w:rsidRPr="00FB1FE7">
          <w:rPr>
            <w:noProof/>
            <w:webHidden/>
          </w:rPr>
          <w:fldChar w:fldCharType="separate"/>
        </w:r>
        <w:r w:rsidR="003273EF" w:rsidRPr="00FB1FE7">
          <w:rPr>
            <w:noProof/>
            <w:webHidden/>
          </w:rPr>
          <w:t>8</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4" w:history="1">
        <w:r w:rsidR="003273EF" w:rsidRPr="00FB1FE7">
          <w:rPr>
            <w:rStyle w:val="Hyperlink"/>
            <w:rFonts w:ascii="Verdana" w:hAnsi="Verdana"/>
            <w:noProof/>
            <w:lang w:val="es-ES_tradnl" w:eastAsia="en-US"/>
          </w:rPr>
          <w:t>3.7.</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Almacenamiento</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_Toc436281174 \h </w:instrText>
        </w:r>
        <w:r w:rsidR="008651D8" w:rsidRPr="00FB1FE7">
          <w:rPr>
            <w:noProof/>
            <w:webHidden/>
          </w:rPr>
        </w:r>
        <w:r w:rsidR="008651D8" w:rsidRPr="00FB1FE7">
          <w:rPr>
            <w:noProof/>
            <w:webHidden/>
          </w:rPr>
          <w:fldChar w:fldCharType="separate"/>
        </w:r>
        <w:r w:rsidR="003273EF" w:rsidRPr="00FB1FE7">
          <w:rPr>
            <w:noProof/>
            <w:webHidden/>
          </w:rPr>
          <w:t>9</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5" w:history="1">
        <w:r w:rsidR="003273EF" w:rsidRPr="00FB1FE7">
          <w:rPr>
            <w:rStyle w:val="Hyperlink"/>
            <w:rFonts w:ascii="Verdana" w:hAnsi="Verdana"/>
            <w:noProof/>
            <w:lang w:val="es-ES_tradnl" w:eastAsia="en-US"/>
          </w:rPr>
          <w:t>3.8.</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Transporte</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_Toc436281175 \h </w:instrText>
        </w:r>
        <w:r w:rsidR="008651D8" w:rsidRPr="00FB1FE7">
          <w:rPr>
            <w:noProof/>
            <w:webHidden/>
          </w:rPr>
        </w:r>
        <w:r w:rsidR="008651D8" w:rsidRPr="00FB1FE7">
          <w:rPr>
            <w:noProof/>
            <w:webHidden/>
          </w:rPr>
          <w:fldChar w:fldCharType="separate"/>
        </w:r>
        <w:r w:rsidR="003273EF" w:rsidRPr="00FB1FE7">
          <w:rPr>
            <w:noProof/>
            <w:webHidden/>
          </w:rPr>
          <w:t>9</w:t>
        </w:r>
        <w:r w:rsidR="008651D8" w:rsidRPr="00FB1FE7">
          <w:rPr>
            <w:noProof/>
            <w:webHidden/>
          </w:rPr>
          <w:fldChar w:fldCharType="end"/>
        </w:r>
      </w:hyperlink>
    </w:p>
    <w:p w:rsidR="003273EF" w:rsidRPr="00FB1FE7" w:rsidRDefault="000B5BA0">
      <w:pPr>
        <w:pStyle w:val="TOC1"/>
        <w:rPr>
          <w:rFonts w:asciiTheme="minorHAnsi" w:eastAsiaTheme="minorEastAsia" w:hAnsiTheme="minorHAnsi" w:cstheme="minorBidi"/>
          <w:b w:val="0"/>
          <w:sz w:val="22"/>
          <w:szCs w:val="22"/>
          <w:lang w:val="es-ES" w:eastAsia="es-ES"/>
        </w:rPr>
      </w:pPr>
      <w:hyperlink w:anchor="_Toc436281176" w:history="1">
        <w:r w:rsidR="003273EF" w:rsidRPr="00FB1FE7">
          <w:rPr>
            <w:rStyle w:val="Hyperlink"/>
            <w:lang w:val="es-ES_tradnl" w:eastAsia="en-US"/>
          </w:rPr>
          <w:t>6.</w:t>
        </w:r>
        <w:r w:rsidR="003273EF" w:rsidRPr="00FB1FE7">
          <w:rPr>
            <w:rFonts w:asciiTheme="minorHAnsi" w:eastAsiaTheme="minorEastAsia" w:hAnsiTheme="minorHAnsi" w:cstheme="minorBidi"/>
            <w:b w:val="0"/>
            <w:sz w:val="22"/>
            <w:szCs w:val="22"/>
            <w:lang w:val="es-ES" w:eastAsia="es-ES"/>
          </w:rPr>
          <w:tab/>
        </w:r>
        <w:r w:rsidR="003273EF" w:rsidRPr="00FB1FE7">
          <w:rPr>
            <w:rStyle w:val="Hyperlink"/>
            <w:lang w:val="es-ES_tradnl"/>
          </w:rPr>
          <w:t>Diagrama de flujo del proceso de fabricación del biodiésel</w:t>
        </w:r>
        <w:r w:rsidR="003273EF" w:rsidRPr="00FB1FE7">
          <w:rPr>
            <w:webHidden/>
          </w:rPr>
          <w:tab/>
        </w:r>
        <w:r w:rsidR="008651D8" w:rsidRPr="00FB1FE7">
          <w:rPr>
            <w:webHidden/>
          </w:rPr>
          <w:fldChar w:fldCharType="begin"/>
        </w:r>
        <w:r w:rsidR="003273EF" w:rsidRPr="00FB1FE7">
          <w:rPr>
            <w:webHidden/>
          </w:rPr>
          <w:instrText xml:space="preserve"> PAGEREF _Toc436281176 \h </w:instrText>
        </w:r>
        <w:r w:rsidR="008651D8" w:rsidRPr="00FB1FE7">
          <w:rPr>
            <w:webHidden/>
          </w:rPr>
        </w:r>
        <w:r w:rsidR="008651D8" w:rsidRPr="00FB1FE7">
          <w:rPr>
            <w:webHidden/>
          </w:rPr>
          <w:fldChar w:fldCharType="separate"/>
        </w:r>
        <w:r w:rsidR="003273EF" w:rsidRPr="00FB1FE7">
          <w:rPr>
            <w:webHidden/>
          </w:rPr>
          <w:t>10</w:t>
        </w:r>
        <w:r w:rsidR="008651D8" w:rsidRPr="00FB1FE7">
          <w:rPr>
            <w:webHidden/>
          </w:rPr>
          <w:fldChar w:fldCharType="end"/>
        </w:r>
      </w:hyperlink>
    </w:p>
    <w:p w:rsidR="003273EF" w:rsidRPr="00FB1FE7" w:rsidRDefault="000B5BA0">
      <w:pPr>
        <w:pStyle w:val="TOC1"/>
        <w:rPr>
          <w:rFonts w:asciiTheme="minorHAnsi" w:eastAsiaTheme="minorEastAsia" w:hAnsiTheme="minorHAnsi" w:cstheme="minorBidi"/>
          <w:b w:val="0"/>
          <w:sz w:val="22"/>
          <w:szCs w:val="22"/>
          <w:lang w:val="es-ES" w:eastAsia="es-ES"/>
        </w:rPr>
      </w:pPr>
      <w:hyperlink w:anchor="_Toc436281177" w:history="1">
        <w:r w:rsidR="003273EF" w:rsidRPr="00FB1FE7">
          <w:rPr>
            <w:rStyle w:val="Hyperlink"/>
            <w:rFonts w:cs="Tahoma"/>
            <w:lang w:val="es-ES_tradnl"/>
          </w:rPr>
          <w:t>7.</w:t>
        </w:r>
        <w:r w:rsidR="003273EF" w:rsidRPr="00FB1FE7">
          <w:rPr>
            <w:rFonts w:asciiTheme="minorHAnsi" w:eastAsiaTheme="minorEastAsia" w:hAnsiTheme="minorHAnsi" w:cstheme="minorBidi"/>
            <w:b w:val="0"/>
            <w:sz w:val="22"/>
            <w:szCs w:val="22"/>
            <w:lang w:val="es-ES" w:eastAsia="es-ES"/>
          </w:rPr>
          <w:tab/>
        </w:r>
        <w:r w:rsidR="003273EF" w:rsidRPr="00FB1FE7">
          <w:rPr>
            <w:rStyle w:val="Hyperlink"/>
            <w:rFonts w:cs="Tahoma"/>
            <w:lang w:val="es-ES_tradnl"/>
          </w:rPr>
          <w:t>Evaluación del riesgo</w:t>
        </w:r>
        <w:r w:rsidR="003273EF" w:rsidRPr="00FB1FE7">
          <w:rPr>
            <w:webHidden/>
          </w:rPr>
          <w:tab/>
        </w:r>
        <w:r w:rsidR="008651D8" w:rsidRPr="00FB1FE7">
          <w:rPr>
            <w:webHidden/>
          </w:rPr>
          <w:fldChar w:fldCharType="begin"/>
        </w:r>
        <w:r w:rsidR="003273EF" w:rsidRPr="00FB1FE7">
          <w:rPr>
            <w:webHidden/>
          </w:rPr>
          <w:instrText xml:space="preserve"> PAGEREF _Toc436281177 \h </w:instrText>
        </w:r>
        <w:r w:rsidR="008651D8" w:rsidRPr="00FB1FE7">
          <w:rPr>
            <w:webHidden/>
          </w:rPr>
        </w:r>
        <w:r w:rsidR="008651D8" w:rsidRPr="00FB1FE7">
          <w:rPr>
            <w:webHidden/>
          </w:rPr>
          <w:fldChar w:fldCharType="separate"/>
        </w:r>
        <w:r w:rsidR="003273EF" w:rsidRPr="00FB1FE7">
          <w:rPr>
            <w:webHidden/>
          </w:rPr>
          <w:t>11</w:t>
        </w:r>
        <w:r w:rsidR="008651D8" w:rsidRPr="00FB1FE7">
          <w:rPr>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8" w:history="1">
        <w:r w:rsidR="003273EF" w:rsidRPr="00FB1FE7">
          <w:rPr>
            <w:rStyle w:val="Hyperlink"/>
            <w:rFonts w:ascii="Verdana" w:hAnsi="Verdana"/>
            <w:noProof/>
            <w:lang w:val="es-ES_tradnl"/>
          </w:rPr>
          <w:t>7.1.</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El EBB ha definido que los siguientes materiales de entrada deberán ser objeto de una evaluación del riesgo relacionado con la seguridad de la cadena alimentaria</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_Toc436281178 \h </w:instrText>
        </w:r>
        <w:r w:rsidR="008651D8" w:rsidRPr="00FB1FE7">
          <w:rPr>
            <w:noProof/>
            <w:webHidden/>
          </w:rPr>
        </w:r>
        <w:r w:rsidR="008651D8" w:rsidRPr="00FB1FE7">
          <w:rPr>
            <w:noProof/>
            <w:webHidden/>
          </w:rPr>
          <w:fldChar w:fldCharType="separate"/>
        </w:r>
        <w:r w:rsidR="003273EF" w:rsidRPr="00FB1FE7">
          <w:rPr>
            <w:noProof/>
            <w:webHidden/>
          </w:rPr>
          <w:t>11</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79" w:history="1">
        <w:r w:rsidR="003273EF" w:rsidRPr="00FB1FE7">
          <w:rPr>
            <w:rStyle w:val="Hyperlink"/>
            <w:noProof/>
            <w:lang w:val="es-ES_tradnl"/>
          </w:rPr>
          <w:t>7.2.</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noProof/>
            <w:lang w:val="es-ES_tradnl"/>
          </w:rPr>
          <w:t>Resumen del enfoque basado en el riesgo para el sector del biodiésel</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_Toc436281179 \h </w:instrText>
        </w:r>
        <w:r w:rsidR="008651D8" w:rsidRPr="00FB1FE7">
          <w:rPr>
            <w:noProof/>
            <w:webHidden/>
          </w:rPr>
        </w:r>
        <w:r w:rsidR="008651D8" w:rsidRPr="00FB1FE7">
          <w:rPr>
            <w:noProof/>
            <w:webHidden/>
          </w:rPr>
          <w:fldChar w:fldCharType="separate"/>
        </w:r>
        <w:r w:rsidR="003273EF" w:rsidRPr="00FB1FE7">
          <w:rPr>
            <w:noProof/>
            <w:webHidden/>
          </w:rPr>
          <w:t>11</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80" w:history="1">
        <w:r w:rsidR="003273EF" w:rsidRPr="00FB1FE7">
          <w:rPr>
            <w:rStyle w:val="Hyperlink"/>
            <w:noProof/>
            <w:lang w:val="es-ES_tradnl"/>
          </w:rPr>
          <w:t>7.3.</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noProof/>
            <w:lang w:val="es-ES_tradnl"/>
          </w:rPr>
          <w:t>Enfoque basado en el riesgo para la caracterización de los riesgos aplicables a las materias primas para piensos obtenidas en la fabricación de biodiésel</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_Toc436281180 \h </w:instrText>
        </w:r>
        <w:r w:rsidR="008651D8" w:rsidRPr="00FB1FE7">
          <w:rPr>
            <w:noProof/>
            <w:webHidden/>
          </w:rPr>
        </w:r>
        <w:r w:rsidR="008651D8" w:rsidRPr="00FB1FE7">
          <w:rPr>
            <w:noProof/>
            <w:webHidden/>
          </w:rPr>
          <w:fldChar w:fldCharType="separate"/>
        </w:r>
        <w:r w:rsidR="003273EF" w:rsidRPr="00FB1FE7">
          <w:rPr>
            <w:noProof/>
            <w:webHidden/>
          </w:rPr>
          <w:t>12</w:t>
        </w:r>
        <w:r w:rsidR="008651D8" w:rsidRPr="00FB1FE7">
          <w:rPr>
            <w:noProof/>
            <w:webHidden/>
          </w:rPr>
          <w:fldChar w:fldCharType="end"/>
        </w:r>
      </w:hyperlink>
    </w:p>
    <w:p w:rsidR="003273EF" w:rsidRPr="00FB1FE7" w:rsidRDefault="000B5BA0">
      <w:pPr>
        <w:pStyle w:val="TOC2"/>
        <w:tabs>
          <w:tab w:val="left" w:pos="880"/>
          <w:tab w:val="right" w:leader="dot" w:pos="8828"/>
        </w:tabs>
        <w:rPr>
          <w:rFonts w:asciiTheme="minorHAnsi" w:eastAsiaTheme="minorEastAsia" w:hAnsiTheme="minorHAnsi" w:cstheme="minorBidi"/>
          <w:noProof/>
          <w:sz w:val="22"/>
          <w:szCs w:val="22"/>
          <w:lang w:val="es-ES" w:eastAsia="es-ES"/>
        </w:rPr>
      </w:pPr>
      <w:hyperlink w:anchor="_Toc436281181" w:history="1">
        <w:r w:rsidR="003273EF" w:rsidRPr="00FB1FE7">
          <w:rPr>
            <w:rStyle w:val="Hyperlink"/>
            <w:rFonts w:ascii="Verdana" w:hAnsi="Verdana"/>
            <w:noProof/>
            <w:lang w:val="es-ES_tradnl"/>
          </w:rPr>
          <w:t>7.4.</w:t>
        </w:r>
        <w:r w:rsidR="003273EF" w:rsidRPr="00FB1FE7">
          <w:rPr>
            <w:rFonts w:asciiTheme="minorHAnsi" w:eastAsiaTheme="minorEastAsia" w:hAnsiTheme="minorHAnsi" w:cstheme="minorBidi"/>
            <w:noProof/>
            <w:sz w:val="22"/>
            <w:szCs w:val="22"/>
            <w:lang w:val="es-ES" w:eastAsia="es-ES"/>
          </w:rPr>
          <w:tab/>
        </w:r>
        <w:r w:rsidR="003273EF" w:rsidRPr="00FB1FE7">
          <w:rPr>
            <w:rStyle w:val="Hyperlink"/>
            <w:rFonts w:ascii="Verdana" w:hAnsi="Verdana"/>
            <w:noProof/>
            <w:lang w:val="es-ES_tradnl"/>
          </w:rPr>
          <w:t>Procedimiento para la realización de la evaluación del riesgo</w:t>
        </w:r>
        <w:r w:rsidR="003273EF" w:rsidRPr="00FB1FE7">
          <w:rPr>
            <w:noProof/>
            <w:webHidden/>
          </w:rPr>
          <w:tab/>
        </w:r>
        <w:r w:rsidR="008651D8" w:rsidRPr="00FB1FE7">
          <w:rPr>
            <w:noProof/>
            <w:webHidden/>
          </w:rPr>
          <w:fldChar w:fldCharType="begin"/>
        </w:r>
        <w:r w:rsidR="003273EF" w:rsidRPr="00FB1FE7">
          <w:rPr>
            <w:noProof/>
            <w:webHidden/>
          </w:rPr>
          <w:instrText xml:space="preserve"> PAGEREF _Toc436281181 \h </w:instrText>
        </w:r>
        <w:r w:rsidR="008651D8" w:rsidRPr="00FB1FE7">
          <w:rPr>
            <w:noProof/>
            <w:webHidden/>
          </w:rPr>
        </w:r>
        <w:r w:rsidR="008651D8" w:rsidRPr="00FB1FE7">
          <w:rPr>
            <w:noProof/>
            <w:webHidden/>
          </w:rPr>
          <w:fldChar w:fldCharType="separate"/>
        </w:r>
        <w:r w:rsidR="003273EF" w:rsidRPr="00FB1FE7">
          <w:rPr>
            <w:noProof/>
            <w:webHidden/>
          </w:rPr>
          <w:t>13</w:t>
        </w:r>
        <w:r w:rsidR="008651D8" w:rsidRPr="00FB1FE7">
          <w:rPr>
            <w:noProof/>
            <w:webHidden/>
          </w:rPr>
          <w:fldChar w:fldCharType="end"/>
        </w:r>
      </w:hyperlink>
    </w:p>
    <w:p w:rsidR="003273EF" w:rsidRPr="00FB1FE7" w:rsidRDefault="000B5BA0">
      <w:pPr>
        <w:pStyle w:val="TOC1"/>
        <w:rPr>
          <w:rFonts w:asciiTheme="minorHAnsi" w:eastAsiaTheme="minorEastAsia" w:hAnsiTheme="minorHAnsi" w:cstheme="minorBidi"/>
          <w:b w:val="0"/>
          <w:sz w:val="22"/>
          <w:szCs w:val="22"/>
          <w:lang w:val="es-ES" w:eastAsia="es-ES"/>
        </w:rPr>
      </w:pPr>
      <w:hyperlink w:anchor="_Toc436281182" w:history="1">
        <w:r w:rsidR="003273EF" w:rsidRPr="00FB1FE7">
          <w:rPr>
            <w:rStyle w:val="Hyperlink"/>
            <w:lang w:val="es-ES_tradnl"/>
          </w:rPr>
          <w:t>8. Enfoque basado en el riesgo aplicado a la glicerina</w:t>
        </w:r>
        <w:r w:rsidR="003273EF" w:rsidRPr="00FB1FE7">
          <w:rPr>
            <w:webHidden/>
          </w:rPr>
          <w:tab/>
        </w:r>
        <w:r w:rsidR="008651D8" w:rsidRPr="00FB1FE7">
          <w:rPr>
            <w:webHidden/>
          </w:rPr>
          <w:fldChar w:fldCharType="begin"/>
        </w:r>
        <w:r w:rsidR="003273EF" w:rsidRPr="00FB1FE7">
          <w:rPr>
            <w:webHidden/>
          </w:rPr>
          <w:instrText xml:space="preserve"> PAGEREF _Toc436281182 \h </w:instrText>
        </w:r>
        <w:r w:rsidR="008651D8" w:rsidRPr="00FB1FE7">
          <w:rPr>
            <w:webHidden/>
          </w:rPr>
        </w:r>
        <w:r w:rsidR="008651D8" w:rsidRPr="00FB1FE7">
          <w:rPr>
            <w:webHidden/>
          </w:rPr>
          <w:fldChar w:fldCharType="separate"/>
        </w:r>
        <w:r w:rsidR="003273EF" w:rsidRPr="00FB1FE7">
          <w:rPr>
            <w:webHidden/>
          </w:rPr>
          <w:t>14</w:t>
        </w:r>
        <w:r w:rsidR="008651D8" w:rsidRPr="00FB1FE7">
          <w:rPr>
            <w:webHidden/>
          </w:rPr>
          <w:fldChar w:fldCharType="end"/>
        </w:r>
      </w:hyperlink>
    </w:p>
    <w:p w:rsidR="003273EF" w:rsidRPr="00FB1FE7" w:rsidRDefault="000B5BA0">
      <w:pPr>
        <w:pStyle w:val="TOC1"/>
        <w:rPr>
          <w:rFonts w:asciiTheme="minorHAnsi" w:eastAsiaTheme="minorEastAsia" w:hAnsiTheme="minorHAnsi" w:cstheme="minorBidi"/>
          <w:b w:val="0"/>
          <w:sz w:val="22"/>
          <w:szCs w:val="22"/>
          <w:lang w:val="es-ES" w:eastAsia="es-ES"/>
        </w:rPr>
      </w:pPr>
      <w:hyperlink w:anchor="_Toc436281183" w:history="1">
        <w:r w:rsidR="003273EF" w:rsidRPr="00FB1FE7">
          <w:rPr>
            <w:rStyle w:val="Hyperlink"/>
            <w:lang w:val="es-ES_tradnl"/>
          </w:rPr>
          <w:t>9. Requisitos mínimos de seguimiento</w:t>
        </w:r>
        <w:r w:rsidR="003273EF" w:rsidRPr="00FB1FE7">
          <w:rPr>
            <w:webHidden/>
          </w:rPr>
          <w:tab/>
        </w:r>
        <w:r w:rsidR="008651D8" w:rsidRPr="00FB1FE7">
          <w:rPr>
            <w:webHidden/>
          </w:rPr>
          <w:fldChar w:fldCharType="begin"/>
        </w:r>
        <w:r w:rsidR="003273EF" w:rsidRPr="00FB1FE7">
          <w:rPr>
            <w:webHidden/>
          </w:rPr>
          <w:instrText xml:space="preserve"> PAGEREF _Toc436281183 \h </w:instrText>
        </w:r>
        <w:r w:rsidR="008651D8" w:rsidRPr="00FB1FE7">
          <w:rPr>
            <w:webHidden/>
          </w:rPr>
        </w:r>
        <w:r w:rsidR="008651D8" w:rsidRPr="00FB1FE7">
          <w:rPr>
            <w:webHidden/>
          </w:rPr>
          <w:fldChar w:fldCharType="separate"/>
        </w:r>
        <w:r w:rsidR="003273EF" w:rsidRPr="00FB1FE7">
          <w:rPr>
            <w:webHidden/>
          </w:rPr>
          <w:t>28</w:t>
        </w:r>
        <w:r w:rsidR="008651D8" w:rsidRPr="00FB1FE7">
          <w:rPr>
            <w:webHidden/>
          </w:rPr>
          <w:fldChar w:fldCharType="end"/>
        </w:r>
      </w:hyperlink>
    </w:p>
    <w:p w:rsidR="00816A4D" w:rsidRPr="00FB1FE7" w:rsidRDefault="008651D8" w:rsidP="00BE596F">
      <w:pPr>
        <w:rPr>
          <w:rFonts w:ascii="Verdana" w:hAnsi="Verdana"/>
          <w:lang w:val="es-ES_tradnl"/>
        </w:rPr>
      </w:pPr>
      <w:r w:rsidRPr="00FB1FE7">
        <w:rPr>
          <w:rFonts w:ascii="Verdana" w:hAnsi="Verdana"/>
          <w:b/>
          <w:lang w:val="es-ES_tradnl"/>
        </w:rPr>
        <w:fldChar w:fldCharType="end"/>
      </w:r>
    </w:p>
    <w:p w:rsidR="00CC33EE" w:rsidRPr="00FB1FE7" w:rsidRDefault="00BD667B" w:rsidP="00BE596F">
      <w:pPr>
        <w:rPr>
          <w:rFonts w:ascii="Verdana" w:hAnsi="Verdana"/>
          <w:lang w:val="es-ES_tradnl"/>
        </w:rPr>
      </w:pPr>
      <w:r w:rsidRPr="00FB1FE7">
        <w:rPr>
          <w:rFonts w:ascii="Verdana" w:hAnsi="Verdana"/>
          <w:lang w:val="es-ES_tradnl"/>
        </w:rPr>
        <w:br w:type="page"/>
      </w:r>
    </w:p>
    <w:p w:rsidR="0033448F" w:rsidRPr="00FB1FE7" w:rsidRDefault="00FA37B8" w:rsidP="00BE596F">
      <w:pPr>
        <w:pStyle w:val="Heading1"/>
        <w:tabs>
          <w:tab w:val="clear" w:pos="432"/>
          <w:tab w:val="num" w:pos="420"/>
        </w:tabs>
        <w:rPr>
          <w:rFonts w:ascii="Verdana" w:hAnsi="Verdana"/>
          <w:lang w:val="es-ES_tradnl"/>
        </w:rPr>
      </w:pPr>
      <w:bookmarkStart w:id="1" w:name="_Toc436281166"/>
      <w:r w:rsidRPr="00FB1FE7">
        <w:rPr>
          <w:rFonts w:ascii="Verdana" w:hAnsi="Verdana"/>
          <w:lang w:val="es-ES_tradnl"/>
        </w:rPr>
        <w:lastRenderedPageBreak/>
        <w:t>Lista de materias primas para piensos</w:t>
      </w:r>
      <w:bookmarkEnd w:id="1"/>
    </w:p>
    <w:p w:rsidR="00FA37B8" w:rsidRPr="00FB1FE7" w:rsidRDefault="00FA37B8" w:rsidP="00673F18">
      <w:pPr>
        <w:keepNext/>
        <w:rPr>
          <w:rFonts w:ascii="Verdana" w:hAnsi="Verdana"/>
          <w:lang w:val="es-ES_tradnl"/>
        </w:rPr>
      </w:pPr>
    </w:p>
    <w:p w:rsidR="00FA37B8" w:rsidRPr="00FB1FE7" w:rsidRDefault="00FA37B8" w:rsidP="00BE596F">
      <w:pPr>
        <w:jc w:val="both"/>
        <w:rPr>
          <w:rFonts w:ascii="Verdana" w:hAnsi="Verdana" w:cs="Tahoma"/>
          <w:szCs w:val="20"/>
          <w:lang w:val="es-ES_tradnl"/>
        </w:rPr>
      </w:pPr>
      <w:r w:rsidRPr="00FB1FE7">
        <w:rPr>
          <w:rFonts w:ascii="Verdana" w:hAnsi="Verdana" w:cs="Tahoma"/>
          <w:szCs w:val="20"/>
          <w:lang w:val="es-ES_tradnl"/>
        </w:rPr>
        <w:t>Las principales materias primas procesadas por la industria europea del biodiésel son aceite de colza, de soja, de girasol y de palma, combinados con metanol.</w:t>
      </w:r>
    </w:p>
    <w:p w:rsidR="00F9433E" w:rsidRPr="00FB1FE7" w:rsidRDefault="00F9433E" w:rsidP="00BE596F">
      <w:pPr>
        <w:jc w:val="both"/>
        <w:rPr>
          <w:rFonts w:ascii="Verdana" w:hAnsi="Verdana" w:cs="Tahoma"/>
          <w:szCs w:val="20"/>
          <w:lang w:val="es-ES_tradnl"/>
        </w:rPr>
      </w:pPr>
    </w:p>
    <w:p w:rsidR="00F9433E" w:rsidRPr="00FB1FE7" w:rsidRDefault="00F9433E" w:rsidP="00BE596F">
      <w:pPr>
        <w:pStyle w:val="Default"/>
        <w:jc w:val="both"/>
        <w:rPr>
          <w:rFonts w:ascii="Verdana" w:hAnsi="Verdana" w:cs="Tahoma"/>
          <w:sz w:val="20"/>
          <w:szCs w:val="20"/>
          <w:lang w:val="es-ES_tradnl"/>
        </w:rPr>
      </w:pPr>
      <w:r w:rsidRPr="00FB1FE7">
        <w:rPr>
          <w:rFonts w:ascii="Verdana" w:hAnsi="Verdana" w:cs="Tahoma"/>
          <w:sz w:val="20"/>
          <w:szCs w:val="20"/>
          <w:lang w:val="es-ES_tradnl"/>
        </w:rPr>
        <w:t xml:space="preserve">El Catálogo de materias primas para piensos de la Unión Europea aporta un sistema común para la descripción y </w:t>
      </w:r>
      <w:r w:rsidR="00273D92" w:rsidRPr="00FB1FE7">
        <w:rPr>
          <w:rFonts w:ascii="Verdana" w:hAnsi="Verdana" w:cs="Tahoma"/>
          <w:sz w:val="20"/>
          <w:szCs w:val="20"/>
          <w:lang w:val="es-ES_tradnl"/>
        </w:rPr>
        <w:t xml:space="preserve">el </w:t>
      </w:r>
      <w:r w:rsidRPr="00FB1FE7">
        <w:rPr>
          <w:rFonts w:ascii="Verdana" w:hAnsi="Verdana" w:cs="Tahoma"/>
          <w:sz w:val="20"/>
          <w:szCs w:val="20"/>
          <w:lang w:val="es-ES_tradnl"/>
        </w:rPr>
        <w:t>etiquetado de materias primas para piensos a nivel de la UE. El Catálogo incluye, para cada una de las materias primas enumeradas, la denominación del producto, un número de identificación, una descripción de la materia, incluyendo en su caso información sobre el proceso de fabricación, y las indicaciones que permiten sustituir la declaración obligatoria mencionada en el artículo</w:t>
      </w:r>
      <w:r w:rsidR="000137B0" w:rsidRPr="00FB1FE7">
        <w:rPr>
          <w:rFonts w:ascii="Verdana" w:hAnsi="Verdana" w:cs="Tahoma"/>
          <w:sz w:val="20"/>
          <w:szCs w:val="20"/>
          <w:lang w:val="es-ES_tradnl"/>
        </w:rPr>
        <w:t> </w:t>
      </w:r>
      <w:r w:rsidRPr="00FB1FE7">
        <w:rPr>
          <w:rFonts w:ascii="Verdana" w:hAnsi="Verdana" w:cs="Tahoma"/>
          <w:sz w:val="20"/>
          <w:szCs w:val="20"/>
          <w:lang w:val="es-ES_tradnl"/>
        </w:rPr>
        <w:t>16, apartado 1, letra b), del Reglamento (CE) nº 767/2009.</w:t>
      </w:r>
    </w:p>
    <w:p w:rsidR="00F9433E" w:rsidRPr="00FB1FE7" w:rsidRDefault="00F9433E" w:rsidP="00BE596F">
      <w:pPr>
        <w:pStyle w:val="Default"/>
        <w:jc w:val="both"/>
        <w:rPr>
          <w:rFonts w:ascii="Verdana" w:hAnsi="Verdana" w:cs="Tahoma"/>
          <w:sz w:val="20"/>
          <w:szCs w:val="20"/>
          <w:lang w:val="es-ES_tradnl"/>
        </w:rPr>
      </w:pPr>
    </w:p>
    <w:p w:rsidR="00F9433E" w:rsidRPr="00FB1FE7" w:rsidRDefault="00F9433E" w:rsidP="00BE596F">
      <w:pPr>
        <w:pStyle w:val="Default"/>
        <w:jc w:val="both"/>
        <w:rPr>
          <w:rFonts w:ascii="Verdana" w:hAnsi="Verdana" w:cs="Tahoma"/>
          <w:sz w:val="20"/>
          <w:szCs w:val="20"/>
          <w:lang w:val="es-ES_tradnl"/>
        </w:rPr>
      </w:pPr>
      <w:r w:rsidRPr="00FB1FE7">
        <w:rPr>
          <w:rFonts w:ascii="Verdana" w:hAnsi="Verdana" w:cs="Tahoma"/>
          <w:sz w:val="20"/>
          <w:szCs w:val="20"/>
          <w:lang w:val="es-ES_tradnl"/>
        </w:rPr>
        <w:t>Se relacionan a continuación las materias primas para piensos incluidas en el Reglamento (UE) nº 68/2013 (adaptadas al origen vegetal):</w:t>
      </w:r>
    </w:p>
    <w:tbl>
      <w:tblPr>
        <w:tblStyle w:val="TableGrid"/>
        <w:tblW w:w="0" w:type="auto"/>
        <w:tblLook w:val="04A0" w:firstRow="1" w:lastRow="0" w:firstColumn="1" w:lastColumn="0" w:noHBand="0" w:noVBand="1"/>
      </w:tblPr>
      <w:tblGrid>
        <w:gridCol w:w="1951"/>
        <w:gridCol w:w="992"/>
        <w:gridCol w:w="6111"/>
      </w:tblGrid>
      <w:tr w:rsidR="001C3A68" w:rsidRPr="00F508C9" w:rsidTr="001C3A68">
        <w:tc>
          <w:tcPr>
            <w:tcW w:w="1951" w:type="dxa"/>
          </w:tcPr>
          <w:p w:rsidR="001C3A68" w:rsidRPr="00FB1FE7" w:rsidRDefault="001C3A68" w:rsidP="00BE596F">
            <w:pPr>
              <w:jc w:val="both"/>
              <w:rPr>
                <w:rFonts w:ascii="Verdana" w:hAnsi="Verdana" w:cs="Tahoma"/>
                <w:szCs w:val="20"/>
                <w:lang w:val="es-ES_tradnl"/>
              </w:rPr>
            </w:pPr>
            <w:r w:rsidRPr="00FB1FE7">
              <w:rPr>
                <w:rFonts w:ascii="Verdana" w:hAnsi="Verdana" w:cs="Tahoma"/>
                <w:szCs w:val="20"/>
                <w:lang w:val="es-ES_tradnl"/>
              </w:rPr>
              <w:t>Glicerina, bruta</w:t>
            </w:r>
          </w:p>
          <w:p w:rsidR="001C3A68" w:rsidRPr="00FB1FE7" w:rsidRDefault="001C3A68" w:rsidP="00BE596F">
            <w:pPr>
              <w:jc w:val="both"/>
              <w:rPr>
                <w:rFonts w:ascii="Verdana" w:hAnsi="Verdana" w:cs="Tahoma"/>
                <w:szCs w:val="20"/>
                <w:lang w:val="es-ES_tradnl"/>
              </w:rPr>
            </w:pPr>
          </w:p>
        </w:tc>
        <w:tc>
          <w:tcPr>
            <w:tcW w:w="992" w:type="dxa"/>
          </w:tcPr>
          <w:p w:rsidR="001C3A68" w:rsidRPr="00FB1FE7" w:rsidRDefault="001C3A68" w:rsidP="00BE596F">
            <w:pPr>
              <w:jc w:val="both"/>
              <w:rPr>
                <w:rFonts w:ascii="Verdana" w:hAnsi="Verdana" w:cs="Tahoma"/>
                <w:szCs w:val="20"/>
                <w:lang w:val="es-ES_tradnl"/>
              </w:rPr>
            </w:pPr>
            <w:r w:rsidRPr="00FB1FE7">
              <w:rPr>
                <w:rFonts w:ascii="Verdana" w:hAnsi="Verdana" w:cs="Tahoma"/>
                <w:szCs w:val="20"/>
                <w:lang w:val="es-ES_tradnl"/>
              </w:rPr>
              <w:t>13.8.1</w:t>
            </w:r>
          </w:p>
        </w:tc>
        <w:tc>
          <w:tcPr>
            <w:tcW w:w="6111" w:type="dxa"/>
          </w:tcPr>
          <w:p w:rsidR="001C3A68" w:rsidRPr="00FB1FE7" w:rsidRDefault="001C3A68" w:rsidP="00BE596F">
            <w:pPr>
              <w:autoSpaceDE w:val="0"/>
              <w:autoSpaceDN w:val="0"/>
              <w:adjustRightInd w:val="0"/>
              <w:ind w:left="84"/>
              <w:jc w:val="both"/>
              <w:rPr>
                <w:rFonts w:ascii="Verdana" w:hAnsi="Verdana"/>
                <w:szCs w:val="20"/>
                <w:lang w:val="es-ES_tradnl"/>
              </w:rPr>
            </w:pPr>
            <w:r w:rsidRPr="00FB1FE7">
              <w:rPr>
                <w:rFonts w:ascii="Verdana" w:hAnsi="Verdana"/>
                <w:szCs w:val="20"/>
                <w:lang w:val="es-ES_tradnl"/>
              </w:rPr>
              <w:t>Subproducto obtenido a partir de:</w:t>
            </w:r>
          </w:p>
          <w:p w:rsidR="001C3A68" w:rsidRPr="00FB1FE7" w:rsidRDefault="001C3A68" w:rsidP="00BE596F">
            <w:pPr>
              <w:autoSpaceDE w:val="0"/>
              <w:autoSpaceDN w:val="0"/>
              <w:adjustRightInd w:val="0"/>
              <w:spacing w:before="85" w:line="235" w:lineRule="auto"/>
              <w:ind w:left="331" w:right="53" w:hanging="247"/>
              <w:jc w:val="both"/>
              <w:rPr>
                <w:rFonts w:ascii="Verdana" w:hAnsi="Verdana"/>
                <w:szCs w:val="20"/>
                <w:lang w:val="es-ES_tradnl"/>
              </w:rPr>
            </w:pPr>
            <w:r w:rsidRPr="00FB1FE7">
              <w:rPr>
                <w:rFonts w:ascii="Verdana" w:hAnsi="Verdana"/>
                <w:szCs w:val="20"/>
                <w:lang w:val="es-ES_tradnl"/>
              </w:rPr>
              <w:t>—</w:t>
            </w:r>
            <w:r w:rsidR="000137B0" w:rsidRPr="00FB1FE7">
              <w:rPr>
                <w:rFonts w:ascii="Verdana" w:hAnsi="Verdana"/>
                <w:szCs w:val="20"/>
                <w:lang w:val="es-ES_tradnl"/>
              </w:rPr>
              <w:tab/>
            </w:r>
            <w:r w:rsidRPr="00FB1FE7">
              <w:rPr>
                <w:rFonts w:ascii="Verdana" w:hAnsi="Verdana"/>
                <w:szCs w:val="20"/>
                <w:lang w:val="es-ES_tradnl"/>
              </w:rPr>
              <w:t>El proceso oleoquímico de separación de aceites y grasas para obtener ácidos grasos y agua dulce, seguido de la concentración de esta última para obtener glicerol en bruto o mediante transesterificación (puede contener hasta un 0,5</w:t>
            </w:r>
            <w:r w:rsidR="00673F18" w:rsidRPr="00FB1FE7">
              <w:rPr>
                <w:rFonts w:ascii="Verdana" w:hAnsi="Verdana"/>
                <w:szCs w:val="20"/>
                <w:lang w:val="es-ES_tradnl"/>
              </w:rPr>
              <w:t> %</w:t>
            </w:r>
            <w:r w:rsidRPr="00FB1FE7">
              <w:rPr>
                <w:rFonts w:ascii="Verdana" w:hAnsi="Verdana"/>
                <w:szCs w:val="20"/>
                <w:lang w:val="es-ES_tradnl"/>
              </w:rPr>
              <w:t xml:space="preserve"> de metanol) de aceites y grasas naturales para obtener ésteres metílicos de ácidos grasos y agua dulce, seguido de la concentración de esta última para obtener glicerol en bruto</w:t>
            </w:r>
            <w:r w:rsidR="00273D92" w:rsidRPr="00FB1FE7">
              <w:rPr>
                <w:rFonts w:ascii="Verdana" w:hAnsi="Verdana"/>
                <w:szCs w:val="20"/>
                <w:lang w:val="es-ES_tradnl"/>
              </w:rPr>
              <w:t>.</w:t>
            </w:r>
          </w:p>
          <w:p w:rsidR="001C3A68" w:rsidRPr="00FB1FE7" w:rsidRDefault="001C3A68" w:rsidP="00BE596F">
            <w:pPr>
              <w:autoSpaceDE w:val="0"/>
              <w:autoSpaceDN w:val="0"/>
              <w:adjustRightInd w:val="0"/>
              <w:spacing w:before="84" w:line="235" w:lineRule="auto"/>
              <w:ind w:left="331" w:right="53" w:hanging="247"/>
              <w:jc w:val="both"/>
              <w:rPr>
                <w:rFonts w:ascii="Verdana" w:hAnsi="Verdana"/>
                <w:szCs w:val="20"/>
                <w:lang w:val="es-ES_tradnl"/>
              </w:rPr>
            </w:pPr>
            <w:r w:rsidRPr="00FB1FE7">
              <w:rPr>
                <w:rFonts w:ascii="Verdana" w:hAnsi="Verdana"/>
                <w:szCs w:val="20"/>
                <w:lang w:val="es-ES_tradnl"/>
              </w:rPr>
              <w:t>— La fabricación de biodiésel (ésteres metílicos o etílicos de ácidos grasos) obtenido mediante transesterificación de aceites y grasas vegetales o animales de origen no especificado. Pueden quedar en la glicerina sales minerales y orgánicas (hasta un 7,5</w:t>
            </w:r>
            <w:r w:rsidR="00673F18" w:rsidRPr="00FB1FE7">
              <w:rPr>
                <w:rFonts w:ascii="Verdana" w:hAnsi="Verdana"/>
                <w:szCs w:val="20"/>
                <w:lang w:val="es-ES_tradnl"/>
              </w:rPr>
              <w:t> %</w:t>
            </w:r>
            <w:r w:rsidRPr="00FB1FE7">
              <w:rPr>
                <w:rFonts w:ascii="Verdana" w:hAnsi="Verdana"/>
                <w:szCs w:val="20"/>
                <w:lang w:val="es-ES_tradnl"/>
              </w:rPr>
              <w:t>).</w:t>
            </w:r>
          </w:p>
          <w:p w:rsidR="001C3A68" w:rsidRPr="00FB1FE7" w:rsidRDefault="001C3A68" w:rsidP="00BE596F">
            <w:pPr>
              <w:autoSpaceDE w:val="0"/>
              <w:autoSpaceDN w:val="0"/>
              <w:adjustRightInd w:val="0"/>
              <w:spacing w:before="83"/>
              <w:ind w:left="84"/>
              <w:jc w:val="both"/>
              <w:rPr>
                <w:rFonts w:ascii="Verdana" w:hAnsi="Verdana"/>
                <w:szCs w:val="20"/>
                <w:lang w:val="es-ES_tradnl"/>
              </w:rPr>
            </w:pPr>
            <w:r w:rsidRPr="00FB1FE7">
              <w:rPr>
                <w:rFonts w:ascii="Verdana" w:hAnsi="Verdana"/>
                <w:szCs w:val="20"/>
                <w:lang w:val="es-ES_tradnl"/>
              </w:rPr>
              <w:t>Puede contener hasta un 0,5</w:t>
            </w:r>
            <w:r w:rsidR="00673F18" w:rsidRPr="00FB1FE7">
              <w:rPr>
                <w:rFonts w:ascii="Verdana" w:hAnsi="Verdana"/>
                <w:szCs w:val="20"/>
                <w:lang w:val="es-ES_tradnl"/>
              </w:rPr>
              <w:t> %</w:t>
            </w:r>
            <w:r w:rsidRPr="00FB1FE7">
              <w:rPr>
                <w:rFonts w:ascii="Verdana" w:hAnsi="Verdana"/>
                <w:szCs w:val="20"/>
                <w:lang w:val="es-ES_tradnl"/>
              </w:rPr>
              <w:t xml:space="preserve"> de metanol y hasta un 4</w:t>
            </w:r>
            <w:r w:rsidR="00673F18" w:rsidRPr="00FB1FE7">
              <w:rPr>
                <w:rFonts w:ascii="Verdana" w:hAnsi="Verdana"/>
                <w:szCs w:val="20"/>
                <w:lang w:val="es-ES_tradnl"/>
              </w:rPr>
              <w:t> %</w:t>
            </w:r>
            <w:r w:rsidRPr="00FB1FE7">
              <w:rPr>
                <w:rFonts w:ascii="Verdana" w:hAnsi="Verdana"/>
                <w:szCs w:val="20"/>
                <w:lang w:val="es-ES_tradnl"/>
              </w:rPr>
              <w:t xml:space="preserve"> de materia orgánica distinta del glicerol (MONG) constituida de ésteres metílicos de ácidos grasos, ésteres etílicos de ácidos grasos, ácidos grasos libres y glicéridos</w:t>
            </w:r>
            <w:r w:rsidR="00FD3128" w:rsidRPr="00FB1FE7">
              <w:rPr>
                <w:rFonts w:ascii="Verdana" w:hAnsi="Verdana"/>
                <w:szCs w:val="20"/>
                <w:lang w:val="es-ES_tradnl"/>
              </w:rPr>
              <w:t>.</w:t>
            </w:r>
          </w:p>
          <w:p w:rsidR="00151ACA" w:rsidRPr="00FB1FE7" w:rsidRDefault="001C3A68" w:rsidP="00BE596F">
            <w:pPr>
              <w:autoSpaceDE w:val="0"/>
              <w:autoSpaceDN w:val="0"/>
              <w:adjustRightInd w:val="0"/>
              <w:spacing w:before="84" w:line="235" w:lineRule="auto"/>
              <w:ind w:left="331" w:right="55" w:hanging="247"/>
              <w:jc w:val="both"/>
              <w:rPr>
                <w:rFonts w:ascii="Verdana" w:hAnsi="Verdana"/>
                <w:szCs w:val="20"/>
                <w:lang w:val="es-ES_tradnl"/>
              </w:rPr>
            </w:pPr>
            <w:r w:rsidRPr="00FB1FE7">
              <w:rPr>
                <w:rFonts w:ascii="Verdana" w:hAnsi="Verdana"/>
                <w:szCs w:val="20"/>
                <w:lang w:val="es-ES_tradnl"/>
              </w:rPr>
              <w:t>—</w:t>
            </w:r>
            <w:r w:rsidR="000137B0" w:rsidRPr="00FB1FE7">
              <w:rPr>
                <w:rFonts w:ascii="Verdana" w:hAnsi="Verdana"/>
                <w:szCs w:val="20"/>
                <w:lang w:val="es-ES_tradnl"/>
              </w:rPr>
              <w:tab/>
            </w:r>
            <w:r w:rsidRPr="00FB1FE7">
              <w:rPr>
                <w:rFonts w:ascii="Verdana" w:hAnsi="Verdana"/>
                <w:szCs w:val="20"/>
                <w:lang w:val="es-ES_tradnl"/>
              </w:rPr>
              <w:t>Saponificación de aceites y grasas vegetales o animales, normalmente con alcalinos y tierras alcalinas, para fabricar jabón.</w:t>
            </w:r>
          </w:p>
          <w:p w:rsidR="001C3A68" w:rsidRPr="00FB1FE7" w:rsidRDefault="001C3A68" w:rsidP="00BE596F">
            <w:pPr>
              <w:autoSpaceDE w:val="0"/>
              <w:autoSpaceDN w:val="0"/>
              <w:adjustRightInd w:val="0"/>
              <w:spacing w:before="84" w:line="235" w:lineRule="auto"/>
              <w:ind w:left="331" w:right="55" w:hanging="247"/>
              <w:jc w:val="both"/>
              <w:rPr>
                <w:rFonts w:ascii="Verdana" w:hAnsi="Verdana"/>
                <w:szCs w:val="20"/>
                <w:lang w:val="es-ES_tradnl"/>
              </w:rPr>
            </w:pPr>
            <w:r w:rsidRPr="00FB1FE7">
              <w:rPr>
                <w:rFonts w:ascii="Verdana" w:hAnsi="Verdana"/>
                <w:szCs w:val="20"/>
                <w:lang w:val="es-ES_tradnl"/>
              </w:rPr>
              <w:t>Puede contener hasta 50 ppm de níquel por hidrogenación.</w:t>
            </w:r>
          </w:p>
        </w:tc>
      </w:tr>
      <w:tr w:rsidR="001C3A68" w:rsidRPr="00F508C9" w:rsidTr="001C3A68">
        <w:tc>
          <w:tcPr>
            <w:tcW w:w="1951" w:type="dxa"/>
          </w:tcPr>
          <w:p w:rsidR="001C3A68" w:rsidRPr="00FB1FE7" w:rsidRDefault="001C3A68" w:rsidP="00BE596F">
            <w:pPr>
              <w:jc w:val="both"/>
              <w:rPr>
                <w:rFonts w:ascii="Verdana" w:hAnsi="Verdana" w:cs="Tahoma"/>
                <w:szCs w:val="20"/>
                <w:lang w:val="es-ES_tradnl"/>
              </w:rPr>
            </w:pPr>
            <w:r w:rsidRPr="00FB1FE7">
              <w:rPr>
                <w:rFonts w:ascii="Verdana" w:hAnsi="Verdana" w:cs="Tahoma"/>
                <w:szCs w:val="20"/>
                <w:lang w:val="es-ES_tradnl"/>
              </w:rPr>
              <w:t>Glicerina</w:t>
            </w:r>
          </w:p>
        </w:tc>
        <w:tc>
          <w:tcPr>
            <w:tcW w:w="992" w:type="dxa"/>
          </w:tcPr>
          <w:p w:rsidR="001C3A68" w:rsidRPr="00FB1FE7" w:rsidRDefault="001C3A68" w:rsidP="00BE596F">
            <w:pPr>
              <w:jc w:val="both"/>
              <w:rPr>
                <w:rFonts w:ascii="Verdana" w:hAnsi="Verdana" w:cs="Tahoma"/>
                <w:szCs w:val="20"/>
                <w:lang w:val="es-ES_tradnl"/>
              </w:rPr>
            </w:pPr>
            <w:r w:rsidRPr="00FB1FE7">
              <w:rPr>
                <w:rFonts w:ascii="Verdana" w:hAnsi="Verdana" w:cs="Tahoma"/>
                <w:szCs w:val="20"/>
                <w:lang w:val="es-ES_tradnl"/>
              </w:rPr>
              <w:t>13.8.2</w:t>
            </w:r>
          </w:p>
        </w:tc>
        <w:tc>
          <w:tcPr>
            <w:tcW w:w="6111" w:type="dxa"/>
          </w:tcPr>
          <w:p w:rsidR="001C3A68" w:rsidRPr="00FB1FE7" w:rsidRDefault="001C3A68" w:rsidP="00BE596F">
            <w:pPr>
              <w:autoSpaceDE w:val="0"/>
              <w:autoSpaceDN w:val="0"/>
              <w:adjustRightInd w:val="0"/>
              <w:ind w:left="84"/>
              <w:rPr>
                <w:rFonts w:ascii="Verdana" w:hAnsi="Verdana"/>
                <w:szCs w:val="20"/>
                <w:lang w:val="es-ES_tradnl"/>
              </w:rPr>
            </w:pPr>
            <w:r w:rsidRPr="00FB1FE7">
              <w:rPr>
                <w:rFonts w:ascii="Verdana" w:hAnsi="Verdana"/>
                <w:szCs w:val="20"/>
                <w:lang w:val="es-ES_tradnl"/>
              </w:rPr>
              <w:t>Producto obtenido a partir de:</w:t>
            </w:r>
          </w:p>
          <w:p w:rsidR="001C3A68" w:rsidRPr="00FB1FE7" w:rsidRDefault="001C3A68" w:rsidP="00BE596F">
            <w:pPr>
              <w:autoSpaceDE w:val="0"/>
              <w:autoSpaceDN w:val="0"/>
              <w:adjustRightInd w:val="0"/>
              <w:spacing w:before="87" w:line="192" w:lineRule="exact"/>
              <w:ind w:left="331" w:right="53" w:hanging="247"/>
              <w:rPr>
                <w:rFonts w:ascii="Verdana" w:hAnsi="Verdana"/>
                <w:szCs w:val="20"/>
                <w:lang w:val="es-ES_tradnl"/>
              </w:rPr>
            </w:pPr>
            <w:r w:rsidRPr="00FB1FE7">
              <w:rPr>
                <w:rFonts w:ascii="Verdana" w:hAnsi="Verdana"/>
                <w:szCs w:val="20"/>
                <w:lang w:val="es-ES_tradnl"/>
              </w:rPr>
              <w:t>—</w:t>
            </w:r>
            <w:r w:rsidR="000137B0" w:rsidRPr="00FB1FE7">
              <w:rPr>
                <w:rFonts w:ascii="Verdana" w:hAnsi="Verdana"/>
                <w:szCs w:val="20"/>
                <w:lang w:val="es-ES_tradnl"/>
              </w:rPr>
              <w:tab/>
            </w:r>
            <w:r w:rsidRPr="00FB1FE7">
              <w:rPr>
                <w:rFonts w:ascii="Verdana" w:hAnsi="Verdana"/>
                <w:szCs w:val="20"/>
                <w:lang w:val="es-ES_tradnl"/>
              </w:rPr>
              <w:t>El proceso oleoquímico de separación de a) aceites y grasas seguida de la concentración de agua dulce y refinado mediante destilación (véase la parte B, glosario de tratamientos, entrada 20) o proceso de intercambio iónico; b) transesterificación de aceites y grasas naturales para obtener ésteres metílicos de ácidos grasos y agua dulce bruta, seguida de la concentración de esta última para obtener glicerol en bruto y refinado mediante destilación o proceso de intercambio iónico;</w:t>
            </w:r>
          </w:p>
          <w:p w:rsidR="001C3A68" w:rsidRPr="00FB1FE7" w:rsidRDefault="001C3A68" w:rsidP="00BE596F">
            <w:pPr>
              <w:autoSpaceDE w:val="0"/>
              <w:autoSpaceDN w:val="0"/>
              <w:adjustRightInd w:val="0"/>
              <w:spacing w:before="82" w:line="235" w:lineRule="auto"/>
              <w:ind w:left="331" w:right="53" w:hanging="247"/>
              <w:rPr>
                <w:rFonts w:ascii="Verdana" w:hAnsi="Verdana"/>
                <w:szCs w:val="20"/>
                <w:lang w:val="es-ES_tradnl"/>
              </w:rPr>
            </w:pPr>
            <w:r w:rsidRPr="00FB1FE7">
              <w:rPr>
                <w:rFonts w:ascii="Verdana" w:hAnsi="Verdana"/>
                <w:szCs w:val="20"/>
                <w:lang w:val="es-ES_tradnl"/>
              </w:rPr>
              <w:t>—</w:t>
            </w:r>
            <w:r w:rsidR="000137B0" w:rsidRPr="00FB1FE7">
              <w:rPr>
                <w:rFonts w:ascii="Verdana" w:hAnsi="Verdana"/>
                <w:szCs w:val="20"/>
                <w:lang w:val="es-ES_tradnl"/>
              </w:rPr>
              <w:tab/>
            </w:r>
            <w:r w:rsidRPr="00FB1FE7">
              <w:rPr>
                <w:rFonts w:ascii="Verdana" w:hAnsi="Verdana"/>
                <w:szCs w:val="20"/>
                <w:lang w:val="es-ES_tradnl"/>
              </w:rPr>
              <w:t xml:space="preserve">La fabricación de biodiésel (ésteres metílicos o etílicos </w:t>
            </w:r>
            <w:r w:rsidRPr="00FB1FE7">
              <w:rPr>
                <w:rFonts w:ascii="Verdana" w:hAnsi="Verdana"/>
                <w:szCs w:val="20"/>
                <w:lang w:val="es-ES_tradnl"/>
              </w:rPr>
              <w:lastRenderedPageBreak/>
              <w:t>de ácidos grasos) obtenido mediante transesterificación de aceites y grasas vegetales o animales de origen no especificado con el posterior refinado de la glicerina. Contenido mínimo de glicerol:</w:t>
            </w:r>
          </w:p>
          <w:p w:rsidR="001C3A68" w:rsidRPr="00FB1FE7" w:rsidRDefault="001C3A68" w:rsidP="00BE596F">
            <w:pPr>
              <w:tabs>
                <w:tab w:val="center" w:pos="2829"/>
              </w:tabs>
              <w:autoSpaceDE w:val="0"/>
              <w:autoSpaceDN w:val="0"/>
              <w:adjustRightInd w:val="0"/>
              <w:spacing w:line="193" w:lineRule="exact"/>
              <w:ind w:left="331"/>
              <w:rPr>
                <w:rFonts w:ascii="Verdana" w:hAnsi="Verdana"/>
                <w:szCs w:val="20"/>
                <w:lang w:val="es-ES_tradnl"/>
              </w:rPr>
            </w:pPr>
            <w:r w:rsidRPr="00FB1FE7">
              <w:rPr>
                <w:rFonts w:ascii="Verdana" w:hAnsi="Verdana"/>
                <w:szCs w:val="20"/>
                <w:lang w:val="es-ES_tradnl"/>
              </w:rPr>
              <w:t>99</w:t>
            </w:r>
            <w:r w:rsidR="00673F18" w:rsidRPr="00FB1FE7">
              <w:rPr>
                <w:rFonts w:ascii="Verdana" w:hAnsi="Verdana"/>
                <w:szCs w:val="20"/>
                <w:lang w:val="es-ES_tradnl"/>
              </w:rPr>
              <w:t> % de la materia seca;</w:t>
            </w:r>
          </w:p>
          <w:p w:rsidR="001C3A68" w:rsidRPr="00FB1FE7" w:rsidRDefault="001C3A68" w:rsidP="00BE596F">
            <w:pPr>
              <w:autoSpaceDE w:val="0"/>
              <w:autoSpaceDN w:val="0"/>
              <w:adjustRightInd w:val="0"/>
              <w:spacing w:before="84" w:line="235" w:lineRule="auto"/>
              <w:ind w:left="331" w:right="54" w:hanging="247"/>
              <w:jc w:val="both"/>
              <w:rPr>
                <w:rFonts w:ascii="Verdana" w:hAnsi="Verdana"/>
                <w:szCs w:val="20"/>
                <w:lang w:val="es-ES_tradnl"/>
              </w:rPr>
            </w:pPr>
            <w:r w:rsidRPr="00FB1FE7">
              <w:rPr>
                <w:rFonts w:ascii="Verdana" w:hAnsi="Verdana"/>
                <w:szCs w:val="20"/>
                <w:lang w:val="es-ES_tradnl"/>
              </w:rPr>
              <w:t>—</w:t>
            </w:r>
            <w:r w:rsidR="000137B0" w:rsidRPr="00FB1FE7">
              <w:rPr>
                <w:rFonts w:ascii="Verdana" w:hAnsi="Verdana"/>
                <w:szCs w:val="20"/>
                <w:lang w:val="es-ES_tradnl"/>
              </w:rPr>
              <w:tab/>
            </w:r>
            <w:r w:rsidRPr="00FB1FE7">
              <w:rPr>
                <w:rFonts w:ascii="Verdana" w:hAnsi="Verdana"/>
                <w:szCs w:val="20"/>
                <w:lang w:val="es-ES_tradnl"/>
              </w:rPr>
              <w:t>Saponificación de aceites y grasas vegetales o animales, normalmente con alcalinos y tierras alcalinas, para fabricar jabón, seguida de refinado de glicerol en bruto y destilación.</w:t>
            </w:r>
          </w:p>
          <w:p w:rsidR="001C3A68" w:rsidRPr="00FB1FE7" w:rsidRDefault="001C3A68" w:rsidP="00BE596F">
            <w:pPr>
              <w:jc w:val="both"/>
              <w:rPr>
                <w:rFonts w:ascii="Verdana" w:hAnsi="Verdana" w:cs="Tahoma"/>
                <w:szCs w:val="20"/>
                <w:lang w:val="es-ES_tradnl"/>
              </w:rPr>
            </w:pPr>
            <w:r w:rsidRPr="00FB1FE7">
              <w:rPr>
                <w:rFonts w:ascii="Verdana" w:hAnsi="Verdana"/>
                <w:szCs w:val="20"/>
                <w:lang w:val="es-ES_tradnl"/>
              </w:rPr>
              <w:t>Puede contener hasta 50 ppm de níquel por hidrogenación.</w:t>
            </w:r>
          </w:p>
        </w:tc>
      </w:tr>
    </w:tbl>
    <w:p w:rsidR="00FA37B8" w:rsidRPr="00FB1FE7" w:rsidRDefault="00FA37B8" w:rsidP="00BE596F">
      <w:pPr>
        <w:jc w:val="both"/>
        <w:rPr>
          <w:rFonts w:ascii="Verdana" w:hAnsi="Verdana" w:cs="Tahoma"/>
          <w:szCs w:val="20"/>
          <w:lang w:val="es-ES_tradnl"/>
        </w:rPr>
      </w:pPr>
    </w:p>
    <w:p w:rsidR="00A54A61" w:rsidRPr="00FB1FE7" w:rsidRDefault="008A5677" w:rsidP="00673F18">
      <w:pPr>
        <w:keepNext/>
        <w:jc w:val="both"/>
        <w:rPr>
          <w:rFonts w:ascii="Verdana" w:hAnsi="Verdana" w:cs="Tahoma"/>
          <w:b/>
          <w:szCs w:val="20"/>
          <w:lang w:val="es-ES_tradnl"/>
        </w:rPr>
      </w:pPr>
      <w:r w:rsidRPr="00FB1FE7">
        <w:rPr>
          <w:rFonts w:ascii="Verdana" w:hAnsi="Verdana" w:cs="Tahoma"/>
          <w:b/>
          <w:szCs w:val="20"/>
          <w:lang w:val="es-ES_tradnl"/>
        </w:rPr>
        <w:t>2.1 Coadyuvantes tecnológicos utilizados durante el tratamiento y procesamiento</w:t>
      </w:r>
      <w:r w:rsidR="00673F18" w:rsidRPr="00FB1FE7">
        <w:rPr>
          <w:rFonts w:ascii="Verdana" w:hAnsi="Verdana" w:cs="Tahoma"/>
          <w:b/>
          <w:szCs w:val="20"/>
          <w:lang w:val="es-ES_tradnl"/>
        </w:rPr>
        <w:t xml:space="preserve"> </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Agua</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Sulfato de aluminio</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Ácido cítrico</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Cloruro férrico</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Ácido clorhídrico</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Hidróxido de potasio</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Hidróxido de sodio</w:t>
      </w:r>
    </w:p>
    <w:p w:rsidR="00CF3131" w:rsidRPr="0098367C" w:rsidRDefault="00CF3131" w:rsidP="00BE596F">
      <w:pPr>
        <w:jc w:val="both"/>
        <w:rPr>
          <w:rFonts w:ascii="Verdana" w:hAnsi="Verdana" w:cs="Tahoma"/>
          <w:szCs w:val="20"/>
          <w:lang w:val="pt-PT"/>
        </w:rPr>
      </w:pPr>
      <w:r w:rsidRPr="0098367C">
        <w:rPr>
          <w:rFonts w:ascii="Verdana" w:hAnsi="Verdana" w:cs="Tahoma"/>
          <w:szCs w:val="20"/>
          <w:lang w:val="pt-PT"/>
        </w:rPr>
        <w:t>Metóxido de sodio</w:t>
      </w:r>
    </w:p>
    <w:p w:rsidR="00CF3131" w:rsidRPr="0098367C" w:rsidRDefault="008A5B95" w:rsidP="00BE596F">
      <w:pPr>
        <w:jc w:val="both"/>
        <w:rPr>
          <w:rFonts w:ascii="Verdana" w:hAnsi="Verdana" w:cs="Tahoma"/>
          <w:szCs w:val="20"/>
          <w:lang w:val="pt-PT"/>
        </w:rPr>
      </w:pPr>
      <w:r w:rsidRPr="0098367C">
        <w:rPr>
          <w:rFonts w:ascii="Verdana" w:hAnsi="Verdana" w:cs="Tahoma"/>
          <w:szCs w:val="20"/>
          <w:lang w:val="pt-PT"/>
        </w:rPr>
        <w:t>Ácido sulfúrico</w:t>
      </w:r>
    </w:p>
    <w:p w:rsidR="008A5B95" w:rsidRPr="0098367C" w:rsidRDefault="008A5B95" w:rsidP="00BE596F">
      <w:pPr>
        <w:jc w:val="both"/>
        <w:rPr>
          <w:rFonts w:ascii="Verdana" w:hAnsi="Verdana" w:cs="Tahoma"/>
          <w:szCs w:val="20"/>
          <w:lang w:val="pt-PT"/>
        </w:rPr>
      </w:pPr>
      <w:r w:rsidRPr="0098367C">
        <w:rPr>
          <w:rFonts w:ascii="Verdana" w:hAnsi="Verdana" w:cs="Tahoma"/>
          <w:szCs w:val="20"/>
          <w:lang w:val="pt-PT"/>
        </w:rPr>
        <w:t>Ácido fosfórico</w:t>
      </w:r>
    </w:p>
    <w:p w:rsidR="00F04046" w:rsidRPr="0098367C" w:rsidRDefault="00F04046" w:rsidP="00BE596F">
      <w:pPr>
        <w:jc w:val="both"/>
        <w:rPr>
          <w:rFonts w:ascii="Verdana" w:hAnsi="Verdana" w:cs="Tahoma"/>
          <w:szCs w:val="20"/>
          <w:lang w:val="pt-PT"/>
        </w:rPr>
      </w:pPr>
      <w:r w:rsidRPr="0098367C">
        <w:rPr>
          <w:rFonts w:ascii="Verdana" w:hAnsi="Verdana" w:cs="Tahoma"/>
          <w:szCs w:val="20"/>
          <w:lang w:val="pt-PT"/>
        </w:rPr>
        <w:t>Ácido tolueno sulfónico</w:t>
      </w:r>
    </w:p>
    <w:p w:rsidR="00CF3131" w:rsidRPr="0098367C" w:rsidRDefault="00CF3131" w:rsidP="00BE596F">
      <w:pPr>
        <w:jc w:val="both"/>
        <w:rPr>
          <w:rFonts w:ascii="Verdana" w:hAnsi="Verdana" w:cs="Tahoma"/>
          <w:b/>
          <w:szCs w:val="20"/>
          <w:lang w:val="pt-PT"/>
        </w:rPr>
      </w:pPr>
    </w:p>
    <w:p w:rsidR="000137B0" w:rsidRPr="0098367C" w:rsidRDefault="00E752D5" w:rsidP="00BE596F">
      <w:pPr>
        <w:rPr>
          <w:rFonts w:ascii="Verdana" w:hAnsi="Verdana" w:cs="Tahoma"/>
          <w:szCs w:val="20"/>
          <w:u w:val="single"/>
          <w:lang w:val="pt-PT"/>
        </w:rPr>
      </w:pPr>
      <w:r w:rsidRPr="0098367C">
        <w:rPr>
          <w:rFonts w:ascii="Verdana" w:hAnsi="Verdana" w:cs="Tahoma"/>
          <w:szCs w:val="20"/>
          <w:u w:val="single"/>
          <w:lang w:val="pt-PT"/>
        </w:rPr>
        <w:t>Esta lista no es exhaustiva.</w:t>
      </w:r>
    </w:p>
    <w:p w:rsidR="000137B0" w:rsidRPr="0098367C" w:rsidRDefault="000137B0">
      <w:pPr>
        <w:rPr>
          <w:rFonts w:ascii="Verdana" w:hAnsi="Verdana" w:cs="Tahoma"/>
          <w:szCs w:val="20"/>
          <w:u w:val="single"/>
          <w:lang w:val="pt-PT"/>
        </w:rPr>
      </w:pPr>
      <w:r w:rsidRPr="0098367C">
        <w:rPr>
          <w:rFonts w:ascii="Verdana" w:hAnsi="Verdana" w:cs="Tahoma"/>
          <w:szCs w:val="20"/>
          <w:u w:val="single"/>
          <w:lang w:val="pt-PT"/>
        </w:rPr>
        <w:br w:type="page"/>
      </w:r>
    </w:p>
    <w:p w:rsidR="00591963" w:rsidRPr="0098367C" w:rsidRDefault="00591963" w:rsidP="00BE596F">
      <w:pPr>
        <w:rPr>
          <w:rFonts w:ascii="Verdana" w:hAnsi="Verdana" w:cs="Tahoma"/>
          <w:szCs w:val="20"/>
          <w:u w:val="single"/>
          <w:lang w:val="pt-PT"/>
        </w:rPr>
      </w:pPr>
    </w:p>
    <w:p w:rsidR="00673F18" w:rsidRPr="0098367C" w:rsidRDefault="00673F18" w:rsidP="00BE596F">
      <w:pPr>
        <w:rPr>
          <w:rFonts w:ascii="Verdana" w:hAnsi="Verdana"/>
          <w:u w:val="single"/>
          <w:lang w:val="pt-PT"/>
        </w:rPr>
      </w:pPr>
    </w:p>
    <w:p w:rsidR="00667EF1" w:rsidRPr="00FB1FE7" w:rsidRDefault="00667EF1" w:rsidP="00BE596F">
      <w:pPr>
        <w:pStyle w:val="Heading1"/>
        <w:tabs>
          <w:tab w:val="clear" w:pos="432"/>
          <w:tab w:val="num" w:pos="420"/>
        </w:tabs>
        <w:rPr>
          <w:rFonts w:ascii="Verdana" w:hAnsi="Verdana" w:cs="Tahoma"/>
          <w:lang w:val="es-ES_tradnl"/>
        </w:rPr>
      </w:pPr>
      <w:bookmarkStart w:id="2" w:name="_Toc436281167"/>
      <w:r w:rsidRPr="00FB1FE7">
        <w:rPr>
          <w:rFonts w:ascii="Verdana" w:hAnsi="Verdana" w:cs="Tahoma"/>
          <w:lang w:val="es-ES_tradnl"/>
        </w:rPr>
        <w:t>Descripción del proceso de fabricación del biodiésel</w:t>
      </w:r>
      <w:bookmarkEnd w:id="2"/>
    </w:p>
    <w:p w:rsidR="00BF3FB9" w:rsidRPr="00FB1FE7" w:rsidRDefault="00BF3FB9" w:rsidP="00673F18">
      <w:pPr>
        <w:keepNext/>
        <w:rPr>
          <w:rFonts w:ascii="Verdana" w:hAnsi="Verdana"/>
          <w:lang w:val="es-ES_tradnl"/>
        </w:rPr>
      </w:pPr>
    </w:p>
    <w:p w:rsidR="005B3B72" w:rsidRPr="00FB1FE7" w:rsidRDefault="005B3B72" w:rsidP="00BE596F">
      <w:pPr>
        <w:autoSpaceDE w:val="0"/>
        <w:autoSpaceDN w:val="0"/>
        <w:adjustRightInd w:val="0"/>
        <w:jc w:val="both"/>
        <w:rPr>
          <w:lang w:val="es-ES_tradnl"/>
        </w:rPr>
      </w:pPr>
      <w:r w:rsidRPr="00FB1FE7">
        <w:rPr>
          <w:lang w:val="es-ES_tradnl"/>
        </w:rPr>
        <w:t>El biodiésel consiste en ésteres metílicos de ácidos grasos y se elabora mediante la reacción química de los aceites y grasas con monoalcoholes, normalmente etanol. Para acelerar la formación de ésteres alquílicos se utiliza un catalizador, por regla general hidróxido y/o metilato de sodio o de potasio. Este proceso de producción se suel</w:t>
      </w:r>
      <w:r w:rsidR="000137B0" w:rsidRPr="00FB1FE7">
        <w:rPr>
          <w:lang w:val="es-ES_tradnl"/>
        </w:rPr>
        <w:t>e denominar transesterificación.</w:t>
      </w:r>
    </w:p>
    <w:p w:rsidR="00BF3FB9" w:rsidRPr="00FB1FE7" w:rsidRDefault="00132B80" w:rsidP="00BE596F">
      <w:pPr>
        <w:autoSpaceDE w:val="0"/>
        <w:autoSpaceDN w:val="0"/>
        <w:adjustRightInd w:val="0"/>
        <w:jc w:val="both"/>
        <w:rPr>
          <w:rFonts w:ascii="Verdana" w:hAnsi="Verdana"/>
          <w:lang w:val="es-ES_tradnl"/>
        </w:rPr>
      </w:pPr>
      <w:r w:rsidRPr="00132B80">
        <w:rPr>
          <w:noProof/>
          <w:lang w:eastAsia="en-GB"/>
        </w:rPr>
        <w:drawing>
          <wp:inline distT="0" distB="0" distL="0" distR="0" wp14:anchorId="4D69CE92" wp14:editId="6F269931">
            <wp:extent cx="5612130" cy="123229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1232293"/>
                    </a:xfrm>
                    <a:prstGeom prst="rect">
                      <a:avLst/>
                    </a:prstGeom>
                    <a:noFill/>
                    <a:ln>
                      <a:noFill/>
                    </a:ln>
                  </pic:spPr>
                </pic:pic>
              </a:graphicData>
            </a:graphic>
          </wp:inline>
        </w:drawing>
      </w:r>
    </w:p>
    <w:p w:rsidR="00BF3FB9" w:rsidRPr="00FB1FE7" w:rsidRDefault="00BF3FB9" w:rsidP="00BE596F">
      <w:pPr>
        <w:rPr>
          <w:rFonts w:ascii="Verdana" w:hAnsi="Verdana"/>
          <w:lang w:val="es-ES_tradnl"/>
        </w:rPr>
      </w:pPr>
    </w:p>
    <w:p w:rsidR="00667EF1" w:rsidRPr="00FB1FE7" w:rsidRDefault="00667EF1" w:rsidP="00BE596F">
      <w:pPr>
        <w:jc w:val="both"/>
        <w:rPr>
          <w:rFonts w:ascii="Verdana" w:hAnsi="Verdana" w:cs="Tahoma"/>
          <w:szCs w:val="20"/>
          <w:lang w:val="es-ES_tradnl"/>
        </w:rPr>
      </w:pPr>
      <w:r w:rsidRPr="00FB1FE7">
        <w:rPr>
          <w:rFonts w:ascii="Verdana" w:hAnsi="Verdana" w:cs="Tahoma"/>
          <w:szCs w:val="20"/>
          <w:lang w:val="es-ES_tradnl"/>
        </w:rPr>
        <w:t xml:space="preserve">En la presente sección se describirá el proceso de fabricación de biodiésel a partir de aceites vegetales, separando los triglicéridos en alquilo (biodiésel) y glicerina mediante la reacción con un monoalcohol. A continuación se separan y purifican las fases de biodiésel y de glicerina. Los procesos de producción recorren idénticas fases independientemente de la escala de producción, aunque las diferencias en los equipos pueden ser importantes. </w:t>
      </w:r>
    </w:p>
    <w:p w:rsidR="00667EF1" w:rsidRPr="00FB1FE7" w:rsidRDefault="00667EF1" w:rsidP="00BE596F">
      <w:pPr>
        <w:jc w:val="both"/>
        <w:rPr>
          <w:rFonts w:ascii="Verdana" w:hAnsi="Verdana" w:cs="Tahoma"/>
          <w:i/>
          <w:szCs w:val="20"/>
          <w:lang w:val="es-ES_tradnl"/>
        </w:rPr>
      </w:pPr>
    </w:p>
    <w:p w:rsidR="00667EF1" w:rsidRPr="00FB1FE7" w:rsidRDefault="00CF3131" w:rsidP="00BE596F">
      <w:pPr>
        <w:pStyle w:val="Heading2"/>
        <w:tabs>
          <w:tab w:val="clear" w:pos="709"/>
          <w:tab w:val="num" w:pos="697"/>
        </w:tabs>
        <w:rPr>
          <w:rFonts w:ascii="Verdana" w:hAnsi="Verdana"/>
          <w:lang w:val="es-ES_tradnl"/>
        </w:rPr>
      </w:pPr>
      <w:bookmarkStart w:id="3" w:name="_Toc436281168"/>
      <w:r w:rsidRPr="00FB1FE7">
        <w:rPr>
          <w:rFonts w:ascii="Verdana" w:hAnsi="Verdana"/>
          <w:lang w:val="es-ES_tradnl"/>
        </w:rPr>
        <w:t>Recepción del aceite vegetal</w:t>
      </w:r>
      <w:bookmarkEnd w:id="3"/>
      <w:r w:rsidRPr="00FB1FE7">
        <w:rPr>
          <w:rFonts w:ascii="Verdana" w:hAnsi="Verdana"/>
          <w:lang w:val="es-ES_tradnl"/>
        </w:rPr>
        <w:t xml:space="preserve"> </w:t>
      </w:r>
    </w:p>
    <w:p w:rsidR="00667EF1" w:rsidRPr="00FB1FE7" w:rsidRDefault="00667EF1" w:rsidP="00BE596F">
      <w:pPr>
        <w:pStyle w:val="Heading2"/>
        <w:numPr>
          <w:ilvl w:val="0"/>
          <w:numId w:val="0"/>
        </w:numPr>
        <w:ind w:left="578"/>
        <w:rPr>
          <w:rFonts w:ascii="Verdana" w:hAnsi="Verdana"/>
          <w:lang w:val="es-ES_tradnl"/>
        </w:rPr>
      </w:pPr>
    </w:p>
    <w:p w:rsidR="00A246EB" w:rsidRPr="00FB1FE7" w:rsidRDefault="00A246EB" w:rsidP="00BE596F">
      <w:pPr>
        <w:jc w:val="both"/>
        <w:rPr>
          <w:rFonts w:ascii="Verdana" w:hAnsi="Verdana" w:cs="Tahoma"/>
          <w:szCs w:val="20"/>
          <w:lang w:val="es-ES_tradnl"/>
        </w:rPr>
      </w:pPr>
      <w:r w:rsidRPr="00FB1FE7">
        <w:rPr>
          <w:rFonts w:ascii="Verdana" w:hAnsi="Verdana" w:cs="Tahoma"/>
          <w:szCs w:val="20"/>
          <w:lang w:val="es-ES_tradnl"/>
        </w:rPr>
        <w:t>Los aceites vegetales suministrados a las fábricas de biodiésel están parcialmente refinados. Antes de la entrega (como se describe en el documento de referencia del sector elaborado por FEDIOL)</w:t>
      </w:r>
      <w:r w:rsidRPr="00FB1FE7">
        <w:rPr>
          <w:rStyle w:val="FootnoteReference"/>
          <w:rFonts w:ascii="Verdana" w:hAnsi="Verdana"/>
          <w:szCs w:val="20"/>
          <w:lang w:val="es-ES_tradnl"/>
        </w:rPr>
        <w:footnoteReference w:id="1"/>
      </w:r>
      <w:r w:rsidRPr="00FB1FE7">
        <w:rPr>
          <w:rFonts w:ascii="Verdana" w:hAnsi="Verdana" w:cs="Tahoma"/>
          <w:szCs w:val="20"/>
          <w:lang w:val="es-ES_tradnl"/>
        </w:rPr>
        <w:t xml:space="preserve"> los aceites vegetales atraviesan una serie de etapas de refinado para eliminar diversas impurezas como fosfátidos, ácidos grasos libres, ceras, tocoferoles o colorantes, que podrían impedir la reacción del proceso que genera el biodiésel. </w:t>
      </w:r>
    </w:p>
    <w:p w:rsidR="00E63462" w:rsidRPr="00FB1FE7" w:rsidRDefault="00E63462" w:rsidP="00BE596F">
      <w:pPr>
        <w:jc w:val="both"/>
        <w:rPr>
          <w:rFonts w:ascii="Verdana" w:hAnsi="Verdana" w:cs="Tahoma"/>
          <w:szCs w:val="20"/>
          <w:lang w:val="es-ES_tradnl"/>
        </w:rPr>
      </w:pPr>
    </w:p>
    <w:p w:rsidR="00E63462" w:rsidRPr="00FB1FE7" w:rsidRDefault="00E63462" w:rsidP="00BE596F">
      <w:pPr>
        <w:jc w:val="both"/>
        <w:rPr>
          <w:rFonts w:ascii="Verdana" w:hAnsi="Verdana" w:cs="Tahoma"/>
          <w:szCs w:val="20"/>
          <w:lang w:val="es-ES_tradnl"/>
        </w:rPr>
      </w:pPr>
      <w:r w:rsidRPr="00FB1FE7">
        <w:rPr>
          <w:rFonts w:ascii="Verdana" w:hAnsi="Verdana" w:cs="Tahoma"/>
          <w:szCs w:val="20"/>
          <w:lang w:val="es-ES_tradnl"/>
        </w:rPr>
        <w:t>Todas o casi todas las materias primas son objeto de alguna forma de pretratamiento para eliminar las impurezas o reducir los ácidos grasos libres (AGL), antes de su utilización como insumos en la fabricación de biodiésel.</w:t>
      </w:r>
    </w:p>
    <w:p w:rsidR="00A246EB" w:rsidRPr="00FB1FE7" w:rsidRDefault="00A246EB" w:rsidP="00BE596F">
      <w:pPr>
        <w:jc w:val="both"/>
        <w:rPr>
          <w:rFonts w:ascii="Verdana" w:hAnsi="Verdana" w:cs="Tahoma"/>
          <w:szCs w:val="20"/>
          <w:lang w:val="es-ES_tradnl"/>
        </w:rPr>
      </w:pPr>
    </w:p>
    <w:p w:rsidR="003F6B44" w:rsidRPr="00FB1FE7" w:rsidRDefault="004D7AD3" w:rsidP="00BE596F">
      <w:pPr>
        <w:jc w:val="both"/>
        <w:rPr>
          <w:rFonts w:ascii="Verdana" w:hAnsi="Verdana" w:cs="Tahoma"/>
          <w:szCs w:val="20"/>
          <w:lang w:val="es-ES_tradnl"/>
        </w:rPr>
      </w:pPr>
      <w:r w:rsidRPr="00FB1FE7">
        <w:rPr>
          <w:rFonts w:ascii="Verdana" w:hAnsi="Verdana" w:cs="Tahoma"/>
          <w:szCs w:val="20"/>
          <w:lang w:val="es-ES_tradnl"/>
        </w:rPr>
        <w:t xml:space="preserve">A la entrega, los aceites vegetales parcialmente refinados se separan en tanques de almacenamiento previo al procesamiento. Se evalúa la seguridad y calidad de los materiales entrantes. </w:t>
      </w:r>
    </w:p>
    <w:p w:rsidR="003F6B44" w:rsidRPr="00FB1FE7" w:rsidRDefault="003F6B44" w:rsidP="00BE596F">
      <w:pPr>
        <w:jc w:val="both"/>
        <w:rPr>
          <w:rFonts w:ascii="Verdana" w:hAnsi="Verdana" w:cs="Tahoma"/>
          <w:szCs w:val="20"/>
          <w:lang w:val="es-ES_tradnl"/>
        </w:rPr>
      </w:pPr>
    </w:p>
    <w:p w:rsidR="00120930" w:rsidRPr="00FB1FE7" w:rsidRDefault="00BE6EF6" w:rsidP="00BE596F">
      <w:pPr>
        <w:jc w:val="both"/>
        <w:rPr>
          <w:rFonts w:ascii="Verdana" w:hAnsi="Verdana" w:cs="Tahoma"/>
          <w:szCs w:val="20"/>
          <w:lang w:val="es-ES_tradnl"/>
        </w:rPr>
      </w:pPr>
      <w:r w:rsidRPr="00FB1FE7">
        <w:rPr>
          <w:rFonts w:ascii="Verdana" w:hAnsi="Verdana" w:cs="Tahoma"/>
          <w:szCs w:val="20"/>
          <w:lang w:val="es-ES_tradnl" w:eastAsia="fr-BE"/>
        </w:rPr>
        <w:t xml:space="preserve">El contenido de ácidos grasos libres, de agua y de sustancias no saponificables son los parámetros clave para lograr un alto grado de eficiencia de la conversión en la reacción de transesterificación. Los valores de estos parámetros de los aceites influirán sobre la cantidad de materias primas y sobre la proporción de alcohol y catalizador en el proceso de transesterificación. </w:t>
      </w:r>
    </w:p>
    <w:p w:rsidR="00BE3A6D" w:rsidRPr="00FB1FE7" w:rsidRDefault="00BE3A6D" w:rsidP="00BE596F">
      <w:pPr>
        <w:autoSpaceDE w:val="0"/>
        <w:autoSpaceDN w:val="0"/>
        <w:adjustRightInd w:val="0"/>
        <w:jc w:val="both"/>
        <w:rPr>
          <w:rFonts w:ascii="Verdana" w:hAnsi="Verdana"/>
          <w:lang w:val="es-ES_tradnl" w:eastAsia="en-US"/>
        </w:rPr>
      </w:pPr>
      <w:bookmarkStart w:id="4" w:name="_GoBack"/>
      <w:bookmarkEnd w:id="4"/>
    </w:p>
    <w:p w:rsidR="003E62F2" w:rsidRPr="00FB1FE7" w:rsidRDefault="001D2477" w:rsidP="00BE596F">
      <w:pPr>
        <w:pStyle w:val="Heading2"/>
        <w:tabs>
          <w:tab w:val="clear" w:pos="709"/>
          <w:tab w:val="num" w:pos="697"/>
        </w:tabs>
        <w:rPr>
          <w:rFonts w:ascii="Verdana" w:hAnsi="Verdana"/>
          <w:lang w:val="es-ES_tradnl" w:eastAsia="en-US"/>
        </w:rPr>
      </w:pPr>
      <w:bookmarkStart w:id="5" w:name="_Toc436281169"/>
      <w:r w:rsidRPr="00FB1FE7">
        <w:rPr>
          <w:rFonts w:ascii="Verdana" w:hAnsi="Verdana"/>
          <w:lang w:val="es-ES_tradnl"/>
        </w:rPr>
        <w:lastRenderedPageBreak/>
        <w:t>Fase de reacción / Transesterificación</w:t>
      </w:r>
      <w:bookmarkEnd w:id="5"/>
      <w:r w:rsidR="00F72532" w:rsidRPr="00FB1FE7">
        <w:rPr>
          <w:rFonts w:ascii="Verdana" w:hAnsi="Verdana"/>
          <w:lang w:val="es-ES_tradnl"/>
        </w:rPr>
        <w:t xml:space="preserve"> </w:t>
      </w:r>
    </w:p>
    <w:p w:rsidR="001D60DA" w:rsidRPr="00FB1FE7" w:rsidRDefault="001D60DA" w:rsidP="00673F18">
      <w:pPr>
        <w:keepNext/>
        <w:autoSpaceDE w:val="0"/>
        <w:autoSpaceDN w:val="0"/>
        <w:adjustRightInd w:val="0"/>
        <w:jc w:val="both"/>
        <w:rPr>
          <w:rFonts w:ascii="Verdana" w:hAnsi="Verdana" w:cs="Tahoma"/>
          <w:sz w:val="22"/>
          <w:szCs w:val="22"/>
          <w:lang w:val="es-ES_tradnl" w:eastAsia="en-US"/>
        </w:rPr>
      </w:pPr>
    </w:p>
    <w:p w:rsidR="00DA6FF0" w:rsidRPr="00FB1FE7" w:rsidRDefault="003E62F2" w:rsidP="00BE596F">
      <w:pPr>
        <w:autoSpaceDE w:val="0"/>
        <w:autoSpaceDN w:val="0"/>
        <w:adjustRightInd w:val="0"/>
        <w:jc w:val="both"/>
        <w:rPr>
          <w:rFonts w:ascii="Verdana" w:hAnsi="Verdana" w:cs="Tahoma"/>
          <w:szCs w:val="20"/>
          <w:lang w:val="es-ES_tradnl" w:eastAsia="fr-BE"/>
        </w:rPr>
      </w:pPr>
      <w:r w:rsidRPr="00FB1FE7">
        <w:rPr>
          <w:rFonts w:ascii="Verdana" w:hAnsi="Verdana" w:cs="Tahoma"/>
          <w:szCs w:val="20"/>
          <w:lang w:val="es-ES_tradnl" w:eastAsia="fr-BE"/>
        </w:rPr>
        <w:t xml:space="preserve">La finalidad de la fase de reacción consiste en convertir en biodiésel la fracción de AGL de las materias primas. Cuando el contenido de AGL es elevado, la fase de reacción se lleva a cabo por lo general en dos pasos: esterificación y transesterificación. </w:t>
      </w:r>
    </w:p>
    <w:p w:rsidR="00DA6FF0" w:rsidRPr="00FB1FE7" w:rsidRDefault="00DA6FF0" w:rsidP="00BE596F">
      <w:pPr>
        <w:autoSpaceDE w:val="0"/>
        <w:autoSpaceDN w:val="0"/>
        <w:adjustRightInd w:val="0"/>
        <w:jc w:val="both"/>
        <w:rPr>
          <w:rFonts w:ascii="Verdana" w:hAnsi="Verdana" w:cs="Tahoma"/>
          <w:szCs w:val="20"/>
          <w:lang w:val="es-ES_tradnl" w:eastAsia="fr-BE"/>
        </w:rPr>
      </w:pPr>
    </w:p>
    <w:p w:rsidR="00665768" w:rsidRPr="00FB1FE7" w:rsidRDefault="00CB7710" w:rsidP="00BE596F">
      <w:pPr>
        <w:autoSpaceDE w:val="0"/>
        <w:autoSpaceDN w:val="0"/>
        <w:adjustRightInd w:val="0"/>
        <w:jc w:val="both"/>
        <w:rPr>
          <w:rFonts w:ascii="Verdana" w:hAnsi="Verdana"/>
          <w:lang w:val="es-ES_tradnl" w:eastAsia="en-US"/>
        </w:rPr>
      </w:pPr>
      <w:r w:rsidRPr="00FB1FE7">
        <w:rPr>
          <w:rFonts w:ascii="Verdana" w:hAnsi="Verdana"/>
          <w:lang w:val="es-ES_tradnl"/>
        </w:rPr>
        <w:t xml:space="preserve">Después del análisis previo al procesamiento del aceite vegetal entrante, se mezclan el alcohol y el catalizador y se envían al recipiente de reacción, añadiendo a continuación el aceite vegetal (diagrama de flujo de la figura 1). Esta fase, que se conoce como esterificación, es una etapa de tratamiento previo a la transesterificación, en la que se reduce el contenido de AGL del aceite. </w:t>
      </w:r>
    </w:p>
    <w:p w:rsidR="001D2477" w:rsidRPr="00FB1FE7" w:rsidRDefault="001D2477" w:rsidP="00BE596F">
      <w:pPr>
        <w:autoSpaceDE w:val="0"/>
        <w:autoSpaceDN w:val="0"/>
        <w:adjustRightInd w:val="0"/>
        <w:jc w:val="both"/>
        <w:rPr>
          <w:rFonts w:ascii="Verdana" w:hAnsi="Verdana"/>
          <w:lang w:val="es-ES_tradnl" w:eastAsia="en-US"/>
        </w:rPr>
      </w:pPr>
      <w:r w:rsidRPr="00FB1FE7">
        <w:rPr>
          <w:rFonts w:ascii="Verdana" w:hAnsi="Verdana"/>
          <w:lang w:val="es-ES_tradnl"/>
        </w:rPr>
        <w:t xml:space="preserve">El proceso </w:t>
      </w:r>
      <w:r w:rsidR="00AB4A6A" w:rsidRPr="00FB1FE7">
        <w:rPr>
          <w:rFonts w:ascii="Verdana" w:hAnsi="Verdana"/>
          <w:lang w:val="es-ES_tradnl"/>
        </w:rPr>
        <w:t>completo de transesterificación</w:t>
      </w:r>
      <w:r w:rsidRPr="00FB1FE7">
        <w:rPr>
          <w:rFonts w:ascii="Verdana" w:hAnsi="Verdana"/>
          <w:lang w:val="es-ES_tradnl"/>
        </w:rPr>
        <w:t xml:space="preserve"> se lleva a cabo en atmósfera cerrada, para evitar la pérdida de alcohol. El exceso de alcohol se utiliza normalmente para conseguir la conversión total de aceite en sus ésteres. </w:t>
      </w:r>
    </w:p>
    <w:p w:rsidR="005A6305" w:rsidRPr="00FB1FE7" w:rsidRDefault="005A6305" w:rsidP="00BE596F">
      <w:pPr>
        <w:jc w:val="both"/>
        <w:rPr>
          <w:rFonts w:ascii="Verdana" w:hAnsi="Verdana" w:cs="Tahoma"/>
          <w:szCs w:val="20"/>
          <w:lang w:val="es-ES_tradnl"/>
        </w:rPr>
      </w:pPr>
    </w:p>
    <w:p w:rsidR="00436063" w:rsidRPr="00FB1FE7" w:rsidRDefault="005A6305" w:rsidP="00BE596F">
      <w:pPr>
        <w:pStyle w:val="Heading2"/>
        <w:tabs>
          <w:tab w:val="clear" w:pos="709"/>
          <w:tab w:val="num" w:pos="697"/>
        </w:tabs>
        <w:rPr>
          <w:rFonts w:ascii="Verdana" w:hAnsi="Verdana"/>
          <w:lang w:val="es-ES_tradnl" w:eastAsia="en-US"/>
        </w:rPr>
      </w:pPr>
      <w:bookmarkStart w:id="6" w:name="_Toc436281170"/>
      <w:r w:rsidRPr="00FB1FE7">
        <w:rPr>
          <w:rFonts w:ascii="Verdana" w:hAnsi="Verdana"/>
          <w:lang w:val="es-ES_tradnl"/>
        </w:rPr>
        <w:t>Fase de separación</w:t>
      </w:r>
      <w:bookmarkEnd w:id="6"/>
    </w:p>
    <w:p w:rsidR="00436063" w:rsidRPr="00FB1FE7" w:rsidRDefault="00436063" w:rsidP="00673F18">
      <w:pPr>
        <w:keepNext/>
        <w:autoSpaceDE w:val="0"/>
        <w:autoSpaceDN w:val="0"/>
        <w:adjustRightInd w:val="0"/>
        <w:jc w:val="both"/>
        <w:rPr>
          <w:rFonts w:ascii="Verdana" w:hAnsi="Verdana"/>
          <w:i/>
          <w:iCs/>
          <w:lang w:val="es-ES_tradnl" w:eastAsia="en-US"/>
        </w:rPr>
      </w:pPr>
    </w:p>
    <w:p w:rsidR="005A6305" w:rsidRPr="00FB1FE7" w:rsidRDefault="005A6305" w:rsidP="00BE596F">
      <w:pPr>
        <w:autoSpaceDE w:val="0"/>
        <w:autoSpaceDN w:val="0"/>
        <w:adjustRightInd w:val="0"/>
        <w:jc w:val="both"/>
        <w:rPr>
          <w:rFonts w:ascii="Verdana" w:hAnsi="Verdana"/>
          <w:lang w:val="es-ES_tradnl" w:eastAsia="en-US"/>
        </w:rPr>
      </w:pPr>
      <w:r w:rsidRPr="00FB1FE7">
        <w:rPr>
          <w:rFonts w:ascii="Verdana" w:hAnsi="Verdana"/>
          <w:lang w:val="es-ES_tradnl"/>
        </w:rPr>
        <w:t>Tras completar la reacción aparecen dos nuevos productos: glicerina y biodiésel. Cada uno de ellos contiene una cantidad importante del metanol sobrante de la reacción. En esta fase, a veces se neutraliza, en caso necesario, la mezcla resultante de la reacción. La fase de glicerina es mucho mas densa que la fase de biodiésel, por lo que es posible separar ambas mediante gravedad, y la glicerina simplemente se extrae del fondo del decantador. En algunas ocasiones se utiliza una centrifugadora para separar más rápidamente ambos componentes.</w:t>
      </w:r>
    </w:p>
    <w:p w:rsidR="008F2137" w:rsidRPr="00FB1FE7" w:rsidRDefault="008F2137" w:rsidP="00BE596F">
      <w:pPr>
        <w:autoSpaceDE w:val="0"/>
        <w:autoSpaceDN w:val="0"/>
        <w:adjustRightInd w:val="0"/>
        <w:jc w:val="both"/>
        <w:rPr>
          <w:rFonts w:ascii="Verdana" w:hAnsi="Verdana"/>
          <w:lang w:val="es-ES_tradnl" w:eastAsia="en-US"/>
        </w:rPr>
      </w:pPr>
    </w:p>
    <w:p w:rsidR="008F2137" w:rsidRPr="00FB1FE7" w:rsidRDefault="008F2137" w:rsidP="00BE596F">
      <w:pPr>
        <w:pStyle w:val="Heading2"/>
        <w:tabs>
          <w:tab w:val="clear" w:pos="709"/>
          <w:tab w:val="num" w:pos="697"/>
        </w:tabs>
        <w:rPr>
          <w:rFonts w:ascii="Verdana" w:hAnsi="Verdana"/>
          <w:lang w:val="es-ES_tradnl" w:eastAsia="en-US"/>
        </w:rPr>
      </w:pPr>
      <w:bookmarkStart w:id="7" w:name="_Toc436281171"/>
      <w:r w:rsidRPr="00FB1FE7">
        <w:rPr>
          <w:rFonts w:ascii="Verdana" w:hAnsi="Verdana"/>
          <w:lang w:val="es-ES_tradnl"/>
        </w:rPr>
        <w:t>Acidulación y separación de los AGL</w:t>
      </w:r>
      <w:bookmarkEnd w:id="7"/>
    </w:p>
    <w:p w:rsidR="00436063" w:rsidRPr="00FB1FE7" w:rsidRDefault="00436063" w:rsidP="00673F18">
      <w:pPr>
        <w:keepNext/>
        <w:autoSpaceDE w:val="0"/>
        <w:autoSpaceDN w:val="0"/>
        <w:adjustRightInd w:val="0"/>
        <w:jc w:val="both"/>
        <w:rPr>
          <w:rFonts w:ascii="Verdana" w:hAnsi="Verdana"/>
          <w:u w:val="single"/>
          <w:lang w:val="es-ES_tradnl" w:eastAsia="en-US"/>
        </w:rPr>
      </w:pPr>
    </w:p>
    <w:p w:rsidR="00725858" w:rsidRPr="00FB1FE7" w:rsidRDefault="00436063" w:rsidP="00BE596F">
      <w:pPr>
        <w:autoSpaceDE w:val="0"/>
        <w:autoSpaceDN w:val="0"/>
        <w:adjustRightInd w:val="0"/>
        <w:jc w:val="both"/>
        <w:rPr>
          <w:rFonts w:ascii="Verdana" w:hAnsi="Verdana"/>
          <w:lang w:val="es-ES_tradnl" w:eastAsia="en-US"/>
        </w:rPr>
      </w:pPr>
      <w:r w:rsidRPr="00FB1FE7">
        <w:rPr>
          <w:rFonts w:ascii="Verdana" w:hAnsi="Verdana"/>
          <w:lang w:val="es-ES_tradnl"/>
        </w:rPr>
        <w:t>Normalmente, la glicerina obtenida después de la separación se compone de un 50</w:t>
      </w:r>
      <w:r w:rsidR="00673F18" w:rsidRPr="00FB1FE7">
        <w:rPr>
          <w:rFonts w:ascii="Verdana" w:hAnsi="Verdana"/>
          <w:lang w:val="es-ES_tradnl"/>
        </w:rPr>
        <w:t> %</w:t>
      </w:r>
      <w:r w:rsidRPr="00FB1FE7">
        <w:rPr>
          <w:rFonts w:ascii="Verdana" w:hAnsi="Verdana"/>
          <w:lang w:val="es-ES_tradnl"/>
        </w:rPr>
        <w:t xml:space="preserve"> de glicerina, de un 40</w:t>
      </w:r>
      <w:r w:rsidR="00673F18" w:rsidRPr="00FB1FE7">
        <w:rPr>
          <w:rFonts w:ascii="Verdana" w:hAnsi="Verdana"/>
          <w:lang w:val="es-ES_tradnl"/>
        </w:rPr>
        <w:t> %</w:t>
      </w:r>
      <w:r w:rsidRPr="00FB1FE7">
        <w:rPr>
          <w:rFonts w:ascii="Verdana" w:hAnsi="Verdana"/>
          <w:lang w:val="es-ES_tradnl"/>
        </w:rPr>
        <w:t xml:space="preserve"> de metanol y de un 10</w:t>
      </w:r>
      <w:r w:rsidR="00673F18" w:rsidRPr="00FB1FE7">
        <w:rPr>
          <w:rFonts w:ascii="Verdana" w:hAnsi="Verdana"/>
          <w:lang w:val="es-ES_tradnl"/>
        </w:rPr>
        <w:t> %</w:t>
      </w:r>
      <w:r w:rsidRPr="00FB1FE7">
        <w:rPr>
          <w:rFonts w:ascii="Verdana" w:hAnsi="Verdana"/>
          <w:lang w:val="es-ES_tradnl"/>
        </w:rPr>
        <w:t xml:space="preserve"> de jabón y catalizador. Se neutraliza el catalizador y se descomponen los jabones en ácidos grasos y sales. Se separan y recuperan los AGL y el metanol. </w:t>
      </w:r>
    </w:p>
    <w:p w:rsidR="00815334" w:rsidRPr="00FB1FE7" w:rsidRDefault="00815334" w:rsidP="00BE596F">
      <w:pPr>
        <w:autoSpaceDE w:val="0"/>
        <w:autoSpaceDN w:val="0"/>
        <w:adjustRightInd w:val="0"/>
        <w:jc w:val="both"/>
        <w:rPr>
          <w:rFonts w:ascii="Verdana" w:hAnsi="Verdana"/>
          <w:bCs/>
          <w:u w:val="single"/>
          <w:lang w:val="es-ES_tradnl" w:eastAsia="en-US"/>
        </w:rPr>
      </w:pPr>
    </w:p>
    <w:p w:rsidR="003E62F2" w:rsidRPr="00FB1FE7" w:rsidRDefault="005A6305" w:rsidP="00BE596F">
      <w:pPr>
        <w:pStyle w:val="Heading2"/>
        <w:tabs>
          <w:tab w:val="clear" w:pos="709"/>
          <w:tab w:val="num" w:pos="697"/>
        </w:tabs>
        <w:rPr>
          <w:rFonts w:ascii="Verdana" w:hAnsi="Verdana"/>
          <w:i/>
          <w:lang w:val="es-ES_tradnl" w:eastAsia="en-US"/>
        </w:rPr>
      </w:pPr>
      <w:bookmarkStart w:id="8" w:name="_Toc436281172"/>
      <w:r w:rsidRPr="00FB1FE7">
        <w:rPr>
          <w:rFonts w:ascii="Verdana" w:hAnsi="Verdana"/>
          <w:lang w:val="es-ES_tradnl"/>
        </w:rPr>
        <w:t>Neutralización de la glicerina</w:t>
      </w:r>
      <w:bookmarkEnd w:id="8"/>
      <w:r w:rsidR="00CF3131" w:rsidRPr="00FB1FE7">
        <w:rPr>
          <w:rFonts w:ascii="Verdana" w:hAnsi="Verdana"/>
          <w:lang w:val="es-ES_tradnl"/>
        </w:rPr>
        <w:t xml:space="preserve"> </w:t>
      </w:r>
    </w:p>
    <w:p w:rsidR="003E62F2" w:rsidRPr="00FB1FE7" w:rsidRDefault="003E62F2" w:rsidP="00673F18">
      <w:pPr>
        <w:keepNext/>
        <w:autoSpaceDE w:val="0"/>
        <w:autoSpaceDN w:val="0"/>
        <w:adjustRightInd w:val="0"/>
        <w:jc w:val="both"/>
        <w:rPr>
          <w:rFonts w:ascii="Verdana" w:hAnsi="Verdana"/>
          <w:i/>
          <w:iCs/>
          <w:lang w:val="es-ES_tradnl" w:eastAsia="en-US"/>
        </w:rPr>
      </w:pPr>
    </w:p>
    <w:p w:rsidR="00815334" w:rsidRPr="00FB1FE7" w:rsidRDefault="005A6305" w:rsidP="00BE596F">
      <w:pPr>
        <w:autoSpaceDE w:val="0"/>
        <w:autoSpaceDN w:val="0"/>
        <w:adjustRightInd w:val="0"/>
        <w:jc w:val="both"/>
        <w:rPr>
          <w:rFonts w:ascii="Verdana" w:hAnsi="Verdana"/>
          <w:lang w:val="es-ES_tradnl" w:eastAsia="en-US"/>
        </w:rPr>
      </w:pPr>
      <w:r w:rsidRPr="00FB1FE7">
        <w:rPr>
          <w:rFonts w:ascii="Verdana" w:hAnsi="Verdana"/>
          <w:lang w:val="es-ES_tradnl"/>
        </w:rPr>
        <w:t>El subproducto glicerina contiene catalizador no utilizado y jabones que se neutralizan con un ácido y se almacenan como glicerina en bruto. El algunos casos, la sal formada durante esta fase se recupera para su uso como fertilizante. La mayoría de las veces se deja la sal en la glicerina. Se separan el agua y el alcohol para obtener glicerina con un grado de pureza aproximado del 80</w:t>
      </w:r>
      <w:r w:rsidR="00673F18" w:rsidRPr="00FB1FE7">
        <w:rPr>
          <w:rFonts w:ascii="Verdana" w:hAnsi="Verdana"/>
          <w:lang w:val="es-ES_tradnl"/>
        </w:rPr>
        <w:t> %</w:t>
      </w:r>
      <w:r w:rsidRPr="00FB1FE7">
        <w:rPr>
          <w:rFonts w:ascii="Verdana" w:hAnsi="Verdana"/>
          <w:lang w:val="es-ES_tradnl"/>
        </w:rPr>
        <w:t>, lista para su comercialización como glicerina en bruto neutralizada.</w:t>
      </w:r>
    </w:p>
    <w:p w:rsidR="00421B8B" w:rsidRPr="00FB1FE7" w:rsidRDefault="00421B8B" w:rsidP="00BE596F">
      <w:pPr>
        <w:autoSpaceDE w:val="0"/>
        <w:autoSpaceDN w:val="0"/>
        <w:adjustRightInd w:val="0"/>
        <w:jc w:val="both"/>
        <w:rPr>
          <w:rFonts w:ascii="Verdana" w:hAnsi="Verdana"/>
          <w:lang w:val="es-ES_tradnl" w:eastAsia="en-US"/>
        </w:rPr>
      </w:pPr>
    </w:p>
    <w:p w:rsidR="00815334" w:rsidRPr="00FB1FE7" w:rsidRDefault="00DA6FF0" w:rsidP="00BE596F">
      <w:pPr>
        <w:autoSpaceDE w:val="0"/>
        <w:autoSpaceDN w:val="0"/>
        <w:adjustRightInd w:val="0"/>
        <w:jc w:val="both"/>
        <w:rPr>
          <w:rFonts w:ascii="Verdana" w:hAnsi="Verdana"/>
          <w:lang w:val="es-ES_tradnl" w:eastAsia="en-US"/>
        </w:rPr>
      </w:pPr>
      <w:r w:rsidRPr="00FB1FE7">
        <w:rPr>
          <w:rFonts w:ascii="Verdana" w:hAnsi="Verdana"/>
          <w:lang w:val="es-ES_tradnl"/>
        </w:rPr>
        <w:t>Glicerina refinada: En algunos casos, la glicerina en bruto se puede refinar más para obtener calidades farmacéuticas o técnicas, o bien calidad alimentaria, eliminando el agua mediante destilación.</w:t>
      </w:r>
    </w:p>
    <w:p w:rsidR="005A6305" w:rsidRPr="00FB1FE7" w:rsidRDefault="005A6305" w:rsidP="00BE596F">
      <w:pPr>
        <w:autoSpaceDE w:val="0"/>
        <w:autoSpaceDN w:val="0"/>
        <w:adjustRightInd w:val="0"/>
        <w:jc w:val="both"/>
        <w:rPr>
          <w:rFonts w:ascii="Verdana" w:hAnsi="Verdana"/>
          <w:lang w:val="es-ES_tradnl" w:eastAsia="en-US"/>
        </w:rPr>
      </w:pPr>
    </w:p>
    <w:p w:rsidR="00F8756D" w:rsidRPr="00FB1FE7" w:rsidRDefault="005A6305" w:rsidP="00BE596F">
      <w:pPr>
        <w:pStyle w:val="Heading2"/>
        <w:tabs>
          <w:tab w:val="clear" w:pos="709"/>
          <w:tab w:val="num" w:pos="697"/>
        </w:tabs>
        <w:rPr>
          <w:rFonts w:ascii="Verdana" w:hAnsi="Verdana"/>
          <w:lang w:val="es-ES_tradnl" w:eastAsia="en-US"/>
        </w:rPr>
      </w:pPr>
      <w:bookmarkStart w:id="9" w:name="_Toc436281173"/>
      <w:r w:rsidRPr="00FB1FE7">
        <w:rPr>
          <w:rFonts w:ascii="Verdana" w:hAnsi="Verdana"/>
          <w:lang w:val="es-ES_tradnl"/>
        </w:rPr>
        <w:t>Lavado del éster metílico</w:t>
      </w:r>
      <w:bookmarkEnd w:id="9"/>
    </w:p>
    <w:p w:rsidR="00F8756D" w:rsidRPr="00FB1FE7" w:rsidRDefault="00F8756D" w:rsidP="00673F18">
      <w:pPr>
        <w:keepNext/>
        <w:autoSpaceDE w:val="0"/>
        <w:autoSpaceDN w:val="0"/>
        <w:adjustRightInd w:val="0"/>
        <w:jc w:val="both"/>
        <w:rPr>
          <w:rFonts w:ascii="Verdana" w:hAnsi="Verdana"/>
          <w:lang w:val="es-ES_tradnl" w:eastAsia="en-US"/>
        </w:rPr>
      </w:pPr>
    </w:p>
    <w:p w:rsidR="00CF3131" w:rsidRPr="00FB1FE7" w:rsidRDefault="005A6305" w:rsidP="00BE596F">
      <w:pPr>
        <w:autoSpaceDE w:val="0"/>
        <w:autoSpaceDN w:val="0"/>
        <w:adjustRightInd w:val="0"/>
        <w:jc w:val="both"/>
        <w:rPr>
          <w:rFonts w:ascii="Verdana" w:hAnsi="Verdana"/>
          <w:lang w:val="es-ES_tradnl" w:eastAsia="en-US"/>
        </w:rPr>
      </w:pPr>
      <w:r w:rsidRPr="00FB1FE7">
        <w:rPr>
          <w:rFonts w:ascii="Verdana" w:hAnsi="Verdana"/>
          <w:lang w:val="es-ES_tradnl"/>
        </w:rPr>
        <w:t xml:space="preserve">Una vez separado de la glicerina, </w:t>
      </w:r>
      <w:r w:rsidR="00906E97" w:rsidRPr="00FB1FE7">
        <w:rPr>
          <w:rFonts w:ascii="Verdana" w:hAnsi="Verdana"/>
          <w:lang w:val="es-ES_tradnl"/>
        </w:rPr>
        <w:t xml:space="preserve">el biodiésel se purifica </w:t>
      </w:r>
      <w:r w:rsidRPr="00FB1FE7">
        <w:rPr>
          <w:rFonts w:ascii="Verdana" w:hAnsi="Verdana"/>
          <w:lang w:val="es-ES_tradnl"/>
        </w:rPr>
        <w:t xml:space="preserve">algunas veces mediante un lavado suave con agua caliente para eliminar el catalizador o jabones residuales, se seca y se almacena. Este paso no es necesario en algunos procesos. Algunos sistemas incluyen la destilación del biodiésel. Este paso opcional sirve para mejorar la pureza del biodiésel. </w:t>
      </w:r>
    </w:p>
    <w:p w:rsidR="00D562AC" w:rsidRPr="00FB1FE7" w:rsidRDefault="00D562AC" w:rsidP="00BE596F">
      <w:pPr>
        <w:autoSpaceDE w:val="0"/>
        <w:autoSpaceDN w:val="0"/>
        <w:adjustRightInd w:val="0"/>
        <w:jc w:val="both"/>
        <w:rPr>
          <w:rFonts w:ascii="Verdana" w:hAnsi="Verdana"/>
          <w:lang w:val="es-ES_tradnl" w:eastAsia="en-US"/>
        </w:rPr>
      </w:pPr>
    </w:p>
    <w:p w:rsidR="00CF3131" w:rsidRPr="00FB1FE7" w:rsidRDefault="00CF3131" w:rsidP="00BE596F">
      <w:pPr>
        <w:pStyle w:val="Heading2"/>
        <w:tabs>
          <w:tab w:val="clear" w:pos="709"/>
          <w:tab w:val="num" w:pos="697"/>
        </w:tabs>
        <w:rPr>
          <w:rFonts w:ascii="Verdana" w:hAnsi="Verdana"/>
          <w:lang w:val="es-ES_tradnl" w:eastAsia="en-US"/>
        </w:rPr>
      </w:pPr>
      <w:bookmarkStart w:id="10" w:name="_Toc436281174"/>
      <w:r w:rsidRPr="00FB1FE7">
        <w:rPr>
          <w:rFonts w:ascii="Verdana" w:hAnsi="Verdana"/>
          <w:lang w:val="es-ES_tradnl"/>
        </w:rPr>
        <w:lastRenderedPageBreak/>
        <w:t>Almacenamiento</w:t>
      </w:r>
      <w:bookmarkEnd w:id="10"/>
    </w:p>
    <w:p w:rsidR="00CF3131" w:rsidRPr="00FB1FE7" w:rsidRDefault="00CF3131" w:rsidP="00673F18">
      <w:pPr>
        <w:keepNext/>
        <w:autoSpaceDE w:val="0"/>
        <w:autoSpaceDN w:val="0"/>
        <w:adjustRightInd w:val="0"/>
        <w:jc w:val="both"/>
        <w:rPr>
          <w:rFonts w:ascii="Verdana" w:hAnsi="Verdana"/>
          <w:lang w:val="es-ES_tradnl" w:eastAsia="en-US"/>
        </w:rPr>
      </w:pPr>
    </w:p>
    <w:p w:rsidR="00F8756D" w:rsidRPr="00FB1FE7" w:rsidRDefault="00F8756D" w:rsidP="00BE596F">
      <w:pPr>
        <w:autoSpaceDE w:val="0"/>
        <w:autoSpaceDN w:val="0"/>
        <w:adjustRightInd w:val="0"/>
        <w:jc w:val="both"/>
        <w:rPr>
          <w:rFonts w:ascii="Verdana" w:hAnsi="Verdana"/>
          <w:lang w:val="es-ES_tradnl" w:eastAsia="en-US"/>
        </w:rPr>
      </w:pPr>
      <w:r w:rsidRPr="00FB1FE7">
        <w:rPr>
          <w:rFonts w:ascii="Verdana" w:hAnsi="Verdana"/>
          <w:lang w:val="es-ES_tradnl"/>
        </w:rPr>
        <w:t>La glicerina deberá conservarse en depósitos de almacenamiento adecuados.</w:t>
      </w:r>
    </w:p>
    <w:p w:rsidR="00F8756D" w:rsidRPr="00FB1FE7" w:rsidRDefault="00F8756D" w:rsidP="00BE596F">
      <w:pPr>
        <w:autoSpaceDE w:val="0"/>
        <w:autoSpaceDN w:val="0"/>
        <w:adjustRightInd w:val="0"/>
        <w:jc w:val="both"/>
        <w:rPr>
          <w:rFonts w:ascii="Verdana" w:hAnsi="Verdana"/>
          <w:lang w:val="es-ES_tradnl" w:eastAsia="en-US"/>
        </w:rPr>
      </w:pPr>
    </w:p>
    <w:p w:rsidR="00CF3131" w:rsidRPr="00FB1FE7" w:rsidRDefault="00CF3131" w:rsidP="00BE596F">
      <w:pPr>
        <w:pStyle w:val="Heading2"/>
        <w:tabs>
          <w:tab w:val="clear" w:pos="709"/>
          <w:tab w:val="num" w:pos="697"/>
        </w:tabs>
        <w:rPr>
          <w:rFonts w:ascii="Verdana" w:hAnsi="Verdana"/>
          <w:lang w:val="es-ES_tradnl" w:eastAsia="en-US"/>
        </w:rPr>
      </w:pPr>
      <w:bookmarkStart w:id="11" w:name="_Toc436281175"/>
      <w:r w:rsidRPr="00FB1FE7">
        <w:rPr>
          <w:rFonts w:ascii="Verdana" w:hAnsi="Verdana"/>
          <w:lang w:val="es-ES_tradnl"/>
        </w:rPr>
        <w:t>Transporte</w:t>
      </w:r>
      <w:bookmarkEnd w:id="11"/>
    </w:p>
    <w:p w:rsidR="00490C74" w:rsidRPr="00FB1FE7" w:rsidRDefault="00490C74" w:rsidP="00673F18">
      <w:pPr>
        <w:keepNext/>
        <w:autoSpaceDE w:val="0"/>
        <w:autoSpaceDN w:val="0"/>
        <w:adjustRightInd w:val="0"/>
        <w:jc w:val="both"/>
        <w:rPr>
          <w:rFonts w:ascii="Verdana" w:hAnsi="Verdana" w:cs="Tahoma"/>
          <w:szCs w:val="20"/>
          <w:lang w:val="es-ES_tradnl" w:eastAsia="en-US"/>
        </w:rPr>
      </w:pPr>
    </w:p>
    <w:p w:rsidR="00B87D01" w:rsidRPr="00FB1FE7" w:rsidRDefault="00490C74" w:rsidP="00BE596F">
      <w:pPr>
        <w:autoSpaceDE w:val="0"/>
        <w:autoSpaceDN w:val="0"/>
        <w:adjustRightInd w:val="0"/>
        <w:jc w:val="both"/>
        <w:rPr>
          <w:rFonts w:ascii="Verdana" w:hAnsi="Verdana" w:cs="Tahoma"/>
          <w:b/>
          <w:szCs w:val="20"/>
          <w:lang w:val="es-ES_tradnl"/>
        </w:rPr>
      </w:pPr>
      <w:r w:rsidRPr="00FB1FE7">
        <w:rPr>
          <w:rFonts w:ascii="Verdana" w:hAnsi="Verdana" w:cs="Tahoma"/>
          <w:szCs w:val="20"/>
          <w:lang w:val="es-ES_tradnl" w:eastAsia="fr-BE"/>
        </w:rPr>
        <w:t>La glicerina obtenida como coproductos del proceso deberá transportarse. El transporte de este coproducto se realizará de acuerdo con la normativa nacional y de la UE, con los códigos de transporte en vigor, con los requisitos del cliente y con lo estipulado en el presente «Documento de referencia del sector sobre la fabricación de materias primas seguras para piensos mediante el procesamiento de biodiésel</w:t>
      </w:r>
      <w:r w:rsidR="00B87D01" w:rsidRPr="00FB1FE7">
        <w:rPr>
          <w:rFonts w:ascii="Verdana" w:hAnsi="Verdana" w:cs="Tahoma"/>
          <w:b/>
          <w:szCs w:val="20"/>
          <w:lang w:val="es-ES_tradnl"/>
        </w:rPr>
        <w:t xml:space="preserve"> </w:t>
      </w:r>
    </w:p>
    <w:p w:rsidR="000137B0" w:rsidRPr="00FB1FE7" w:rsidRDefault="000137B0" w:rsidP="00BE596F">
      <w:pPr>
        <w:autoSpaceDE w:val="0"/>
        <w:autoSpaceDN w:val="0"/>
        <w:adjustRightInd w:val="0"/>
        <w:jc w:val="both"/>
        <w:rPr>
          <w:rFonts w:ascii="Verdana" w:hAnsi="Verdana" w:cs="Tahoma"/>
          <w:b/>
          <w:color w:val="4F81BD"/>
          <w:szCs w:val="20"/>
          <w:lang w:val="es-ES_tradnl"/>
        </w:rPr>
      </w:pPr>
    </w:p>
    <w:p w:rsidR="000137B0" w:rsidRPr="00FB1FE7" w:rsidRDefault="000137B0">
      <w:pPr>
        <w:rPr>
          <w:rFonts w:ascii="Verdana" w:hAnsi="Verdana"/>
          <w:b/>
          <w:bCs/>
          <w:kern w:val="32"/>
          <w:sz w:val="24"/>
          <w:szCs w:val="32"/>
          <w:lang w:val="es-ES_tradnl"/>
        </w:rPr>
      </w:pPr>
      <w:r w:rsidRPr="00FB1FE7">
        <w:rPr>
          <w:rFonts w:ascii="Verdana" w:hAnsi="Verdana"/>
          <w:lang w:val="es-ES_tradnl"/>
        </w:rPr>
        <w:br w:type="page"/>
      </w:r>
    </w:p>
    <w:p w:rsidR="008F2137" w:rsidRPr="00FB1FE7" w:rsidRDefault="008F2137" w:rsidP="00BE596F">
      <w:pPr>
        <w:pStyle w:val="Heading1"/>
        <w:numPr>
          <w:ilvl w:val="0"/>
          <w:numId w:val="28"/>
        </w:numPr>
        <w:tabs>
          <w:tab w:val="clear" w:pos="432"/>
          <w:tab w:val="num" w:pos="420"/>
        </w:tabs>
        <w:rPr>
          <w:rFonts w:ascii="Verdana" w:hAnsi="Verdana"/>
          <w:lang w:val="es-ES_tradnl" w:eastAsia="en-US"/>
        </w:rPr>
      </w:pPr>
      <w:bookmarkStart w:id="12" w:name="_Toc436281176"/>
      <w:r w:rsidRPr="00FB1FE7">
        <w:rPr>
          <w:rFonts w:ascii="Verdana" w:hAnsi="Verdana"/>
          <w:lang w:val="es-ES_tradnl"/>
        </w:rPr>
        <w:lastRenderedPageBreak/>
        <w:t>Diagrama de flujo del proceso de fabricación del biodiésel</w:t>
      </w:r>
      <w:bookmarkEnd w:id="12"/>
    </w:p>
    <w:p w:rsidR="008F2137" w:rsidRPr="00FB1FE7" w:rsidRDefault="008F2137" w:rsidP="00673F18">
      <w:pPr>
        <w:keepNext/>
        <w:jc w:val="both"/>
        <w:rPr>
          <w:rFonts w:ascii="Verdana" w:hAnsi="Verdana" w:cs="Tahoma"/>
          <w:lang w:val="es-ES_tradnl"/>
        </w:rPr>
      </w:pPr>
    </w:p>
    <w:p w:rsidR="00453723" w:rsidRPr="00FB1FE7" w:rsidRDefault="00545727" w:rsidP="00BE596F">
      <w:pPr>
        <w:jc w:val="both"/>
        <w:rPr>
          <w:rFonts w:ascii="Verdana" w:hAnsi="Verdana" w:cs="Tahoma"/>
          <w:lang w:val="es-ES_tradnl"/>
        </w:rPr>
      </w:pPr>
      <w:r w:rsidRPr="00FB1FE7">
        <w:rPr>
          <w:rFonts w:ascii="Verdana" w:hAnsi="Verdana" w:cs="Tahoma"/>
          <w:lang w:val="es-ES_tradnl"/>
        </w:rPr>
        <w:t>Este gráfico describe un de forma muy general el proceso de fabricación del biodiésel</w:t>
      </w:r>
    </w:p>
    <w:p w:rsidR="007B1792" w:rsidRPr="00FB1FE7" w:rsidRDefault="007B1792" w:rsidP="00BE596F">
      <w:pPr>
        <w:jc w:val="both"/>
        <w:rPr>
          <w:rFonts w:ascii="Verdana" w:hAnsi="Verdana" w:cs="Tahoma"/>
          <w:lang w:val="es-ES_tradnl"/>
        </w:rPr>
      </w:pPr>
    </w:p>
    <w:p w:rsidR="007B1792" w:rsidRPr="00FB1FE7" w:rsidRDefault="007B1792" w:rsidP="00BE596F">
      <w:pPr>
        <w:jc w:val="both"/>
        <w:rPr>
          <w:rFonts w:ascii="Verdana" w:hAnsi="Verdana" w:cs="Tahoma"/>
          <w:lang w:val="es-ES_tradnl"/>
        </w:rPr>
      </w:pPr>
    </w:p>
    <w:p w:rsidR="009E27A2" w:rsidRPr="00FB1FE7" w:rsidRDefault="0098367C" w:rsidP="00BE596F">
      <w:pPr>
        <w:tabs>
          <w:tab w:val="left" w:pos="7980"/>
        </w:tabs>
        <w:ind w:hanging="567"/>
        <w:jc w:val="both"/>
        <w:rPr>
          <w:rFonts w:ascii="Verdana" w:hAnsi="Verdana" w:cs="Tahoma"/>
          <w:szCs w:val="20"/>
          <w:lang w:val="es-ES_tradnl"/>
        </w:rPr>
      </w:pPr>
      <w:r w:rsidRPr="0098367C">
        <w:rPr>
          <w:noProof/>
          <w:lang w:eastAsia="en-GB"/>
        </w:rPr>
        <w:drawing>
          <wp:inline distT="0" distB="0" distL="0" distR="0" wp14:anchorId="0FB15DFB" wp14:editId="226F141E">
            <wp:extent cx="5871022" cy="4259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75010" cy="4262474"/>
                    </a:xfrm>
                    <a:prstGeom prst="rect">
                      <a:avLst/>
                    </a:prstGeom>
                    <a:noFill/>
                    <a:ln>
                      <a:noFill/>
                    </a:ln>
                  </pic:spPr>
                </pic:pic>
              </a:graphicData>
            </a:graphic>
          </wp:inline>
        </w:drawing>
      </w:r>
    </w:p>
    <w:p w:rsidR="00133433" w:rsidRPr="00FB1FE7" w:rsidRDefault="00133433" w:rsidP="00BE596F">
      <w:pPr>
        <w:rPr>
          <w:rFonts w:ascii="Verdana" w:hAnsi="Verdana" w:cs="Tahoma"/>
          <w:szCs w:val="20"/>
          <w:lang w:val="es-ES_tradnl"/>
        </w:rPr>
      </w:pPr>
      <w:r w:rsidRPr="00FB1FE7">
        <w:rPr>
          <w:rFonts w:ascii="Verdana" w:hAnsi="Verdana" w:cs="Tahoma"/>
          <w:szCs w:val="20"/>
          <w:lang w:val="es-ES_tradnl"/>
        </w:rPr>
        <w:br w:type="page"/>
      </w:r>
    </w:p>
    <w:p w:rsidR="002C35C6" w:rsidRPr="00FB1FE7" w:rsidRDefault="00FE1541" w:rsidP="00673F18">
      <w:pPr>
        <w:pStyle w:val="Heading1"/>
        <w:jc w:val="both"/>
        <w:rPr>
          <w:rFonts w:ascii="Verdana" w:hAnsi="Verdana" w:cs="Tahoma"/>
          <w:lang w:val="es-ES_tradnl"/>
        </w:rPr>
      </w:pPr>
      <w:bookmarkStart w:id="13" w:name="_Toc436281177"/>
      <w:r w:rsidRPr="00FB1FE7">
        <w:rPr>
          <w:rFonts w:ascii="Verdana" w:hAnsi="Verdana" w:cs="Tahoma"/>
          <w:lang w:val="es-ES_tradnl"/>
        </w:rPr>
        <w:lastRenderedPageBreak/>
        <w:t>Evaluación del riesgo</w:t>
      </w:r>
      <w:bookmarkEnd w:id="13"/>
      <w:r w:rsidR="00A36318" w:rsidRPr="00FB1FE7">
        <w:rPr>
          <w:rFonts w:ascii="Verdana" w:hAnsi="Verdana" w:cs="Tahoma"/>
          <w:lang w:val="es-ES_tradnl"/>
        </w:rPr>
        <w:t xml:space="preserve"> </w:t>
      </w:r>
    </w:p>
    <w:p w:rsidR="002E52C2" w:rsidRPr="00FB1FE7" w:rsidRDefault="002E52C2" w:rsidP="00673F18">
      <w:pPr>
        <w:keepNext/>
        <w:rPr>
          <w:rFonts w:ascii="Verdana" w:hAnsi="Verdana"/>
          <w:lang w:val="es-ES_tradnl"/>
        </w:rPr>
      </w:pPr>
    </w:p>
    <w:p w:rsidR="00B631D4" w:rsidRPr="00FB1FE7" w:rsidRDefault="00CC0085" w:rsidP="00673F18">
      <w:pPr>
        <w:pStyle w:val="Heading2"/>
        <w:tabs>
          <w:tab w:val="clear" w:pos="709"/>
          <w:tab w:val="num" w:pos="697"/>
        </w:tabs>
        <w:rPr>
          <w:rFonts w:ascii="Verdana" w:hAnsi="Verdana"/>
          <w:lang w:val="es-ES_tradnl"/>
        </w:rPr>
      </w:pPr>
      <w:bookmarkStart w:id="14" w:name="_Toc436281178"/>
      <w:r w:rsidRPr="00FB1FE7">
        <w:rPr>
          <w:rFonts w:ascii="Verdana" w:hAnsi="Verdana"/>
          <w:lang w:val="es-ES_tradnl"/>
        </w:rPr>
        <w:t xml:space="preserve">El EBB ha </w:t>
      </w:r>
      <w:r w:rsidR="00F818C1" w:rsidRPr="00FB1FE7">
        <w:rPr>
          <w:rFonts w:ascii="Verdana" w:hAnsi="Verdana"/>
          <w:lang w:val="es-ES_tradnl"/>
        </w:rPr>
        <w:t xml:space="preserve">determinado </w:t>
      </w:r>
      <w:r w:rsidRPr="00FB1FE7">
        <w:rPr>
          <w:rFonts w:ascii="Verdana" w:hAnsi="Verdana"/>
          <w:lang w:val="es-ES_tradnl"/>
        </w:rPr>
        <w:t>que los siguientes materiales de entrada deberán ser objeto de una evaluación del riesgo relacionado con la seguridad de la cadena alimentaria</w:t>
      </w:r>
      <w:bookmarkEnd w:id="14"/>
    </w:p>
    <w:p w:rsidR="00D10ECC" w:rsidRPr="00FB1FE7" w:rsidRDefault="00D10ECC" w:rsidP="00673F18">
      <w:pPr>
        <w:keepNext/>
        <w:rPr>
          <w:rFonts w:ascii="Verdana" w:hAnsi="Verdana"/>
          <w:lang w:val="es-ES_tradnl"/>
        </w:rPr>
      </w:pPr>
    </w:p>
    <w:p w:rsidR="00CC0085" w:rsidRPr="00FB1FE7" w:rsidRDefault="0044051E" w:rsidP="00673F18">
      <w:pPr>
        <w:keepNext/>
        <w:rPr>
          <w:rFonts w:ascii="Verdana" w:hAnsi="Verdana"/>
          <w:lang w:val="es-ES_tradnl"/>
        </w:rPr>
      </w:pPr>
      <w:r w:rsidRPr="00FB1FE7">
        <w:rPr>
          <w:rFonts w:ascii="Verdana" w:hAnsi="Verdana"/>
          <w:lang w:val="es-ES_tradnl"/>
        </w:rPr>
        <w:t xml:space="preserve">Materia prima: Aceites vegetales </w:t>
      </w:r>
    </w:p>
    <w:p w:rsidR="00CB1F06" w:rsidRPr="00FB1FE7" w:rsidRDefault="00DD7B4B" w:rsidP="00BE596F">
      <w:pPr>
        <w:pStyle w:val="NormalWeb"/>
        <w:jc w:val="both"/>
        <w:rPr>
          <w:rFonts w:ascii="Verdana" w:hAnsi="Verdana"/>
          <w:color w:val="auto"/>
          <w:lang w:val="es-ES_tradnl"/>
        </w:rPr>
      </w:pPr>
      <w:r w:rsidRPr="00FB1FE7">
        <w:rPr>
          <w:rFonts w:ascii="Verdana" w:hAnsi="Verdana" w:cs="Times New Roman"/>
          <w:color w:val="auto"/>
          <w:szCs w:val="24"/>
          <w:lang w:val="es-ES_tradnl" w:eastAsia="fr-FR"/>
        </w:rPr>
        <w:t xml:space="preserve">Los centros de producción de biodiésel deberán cumplir en todos los casos con los requisitos relativos a las evaluaciones del riesgo. Aunque en el </w:t>
      </w:r>
      <w:hyperlink r:id="rId19" w:anchor="appendix1" w:history="1">
        <w:r w:rsidR="00CB1F06" w:rsidRPr="00FB1FE7">
          <w:rPr>
            <w:rStyle w:val="Hyperlink"/>
            <w:rFonts w:ascii="Verdana" w:hAnsi="Verdana"/>
            <w:color w:val="auto"/>
            <w:u w:val="none"/>
            <w:lang w:val="es-ES_tradnl"/>
          </w:rPr>
          <w:t>Apéndice 1</w:t>
        </w:r>
      </w:hyperlink>
      <w:r w:rsidR="00CB1F06" w:rsidRPr="00FB1FE7">
        <w:rPr>
          <w:rFonts w:ascii="Verdana" w:hAnsi="Verdana"/>
          <w:color w:val="auto"/>
          <w:lang w:val="es-ES_tradnl"/>
        </w:rPr>
        <w:t xml:space="preserve"> se incluye un cuadro de riesgos, las empresas individuales deberán tomar nota de que esta lista </w:t>
      </w:r>
      <w:r w:rsidR="00CB1F06" w:rsidRPr="00FB1FE7">
        <w:rPr>
          <w:rStyle w:val="Strong"/>
          <w:rFonts w:ascii="Verdana" w:hAnsi="Verdana"/>
          <w:b w:val="0"/>
          <w:color w:val="auto"/>
          <w:lang w:val="es-ES_tradnl"/>
        </w:rPr>
        <w:t>no</w:t>
      </w:r>
      <w:r w:rsidR="00CB1F06" w:rsidRPr="00FB1FE7">
        <w:rPr>
          <w:rFonts w:ascii="Verdana" w:hAnsi="Verdana"/>
          <w:color w:val="auto"/>
          <w:lang w:val="es-ES_tradnl"/>
        </w:rPr>
        <w:t xml:space="preserve"> tiene carácter exhaustivo, por lo que el operador económico deberá llevar a cabo sus propias evaluaciones del riesgo. En las correspondientes publicaciones de la Agencia Ejecutiva de Salud y Seguridad (HSE) y en los cuadros sobre evaluación del riesgo anexos a los Reglamentos de la UE se podrá hallar más información sobre riesgos y medidas de control específicos. </w:t>
      </w:r>
    </w:p>
    <w:p w:rsidR="00E016F1" w:rsidRPr="00FB1FE7" w:rsidRDefault="00E016F1" w:rsidP="00BE596F">
      <w:pPr>
        <w:pStyle w:val="Heading2"/>
        <w:rPr>
          <w:lang w:val="es-ES_tradnl"/>
        </w:rPr>
      </w:pPr>
      <w:bookmarkStart w:id="15" w:name="Summery_risk_approach"/>
      <w:bookmarkStart w:id="16" w:name="_Toc436281179"/>
      <w:r w:rsidRPr="00FB1FE7">
        <w:rPr>
          <w:lang w:val="es-ES_tradnl"/>
        </w:rPr>
        <w:t>Resumen del enfoque basado en el riesgo para el sector del biodiésel</w:t>
      </w:r>
      <w:bookmarkEnd w:id="15"/>
      <w:bookmarkEnd w:id="16"/>
    </w:p>
    <w:p w:rsidR="00E016F1" w:rsidRPr="00FB1FE7" w:rsidRDefault="00E016F1" w:rsidP="00BE596F">
      <w:pPr>
        <w:jc w:val="both"/>
        <w:rPr>
          <w:rFonts w:ascii="Verdana" w:hAnsi="Verdana"/>
          <w:szCs w:val="20"/>
          <w:lang w:val="es-ES_tradnl"/>
        </w:rPr>
      </w:pPr>
    </w:p>
    <w:p w:rsidR="00E016F1" w:rsidRPr="00FB1FE7" w:rsidRDefault="00E016F1" w:rsidP="00673F18">
      <w:pPr>
        <w:keepNext/>
        <w:jc w:val="both"/>
        <w:rPr>
          <w:rFonts w:ascii="Verdana" w:hAnsi="Verdana"/>
          <w:szCs w:val="20"/>
          <w:lang w:val="es-ES_tradnl"/>
        </w:rPr>
      </w:pPr>
      <w:r w:rsidRPr="00FB1FE7">
        <w:rPr>
          <w:rFonts w:ascii="Verdana" w:hAnsi="Verdana"/>
          <w:szCs w:val="20"/>
          <w:lang w:val="es-ES_tradnl"/>
        </w:rPr>
        <w:t>Al definir la lista de riesgos potenciales, el operador deberá tener en cuenta las normas siguientes:</w:t>
      </w:r>
    </w:p>
    <w:p w:rsidR="00E016F1" w:rsidRPr="00FB1FE7" w:rsidRDefault="00E016F1" w:rsidP="00BE596F">
      <w:pPr>
        <w:jc w:val="both"/>
        <w:rPr>
          <w:rFonts w:ascii="Verdana" w:hAnsi="Verdana"/>
          <w:szCs w:val="20"/>
          <w:lang w:val="es-ES_tradnl"/>
        </w:rPr>
      </w:pPr>
    </w:p>
    <w:p w:rsidR="00E016F1" w:rsidRPr="00FB1FE7" w:rsidRDefault="00E016F1" w:rsidP="00BE596F">
      <w:pPr>
        <w:numPr>
          <w:ilvl w:val="0"/>
          <w:numId w:val="39"/>
        </w:numPr>
        <w:jc w:val="both"/>
        <w:rPr>
          <w:rFonts w:ascii="Verdana" w:hAnsi="Verdana"/>
          <w:szCs w:val="20"/>
          <w:lang w:val="es-ES_tradnl"/>
        </w:rPr>
      </w:pPr>
      <w:r w:rsidRPr="00FB1FE7">
        <w:rPr>
          <w:rFonts w:ascii="Verdana" w:hAnsi="Verdana"/>
          <w:szCs w:val="20"/>
          <w:lang w:val="es-ES_tradnl"/>
        </w:rPr>
        <w:t xml:space="preserve">La Directiva 2002/32/CE sobre sustancias indeseables en la alimentación animal. </w:t>
      </w:r>
    </w:p>
    <w:p w:rsidR="00E016F1" w:rsidRPr="00FB1FE7" w:rsidRDefault="00E016F1" w:rsidP="00BE596F">
      <w:pPr>
        <w:numPr>
          <w:ilvl w:val="0"/>
          <w:numId w:val="39"/>
        </w:numPr>
        <w:autoSpaceDE w:val="0"/>
        <w:autoSpaceDN w:val="0"/>
        <w:adjustRightInd w:val="0"/>
        <w:spacing w:before="80" w:after="80"/>
        <w:jc w:val="both"/>
        <w:rPr>
          <w:rFonts w:ascii="Verdana" w:hAnsi="Verdana"/>
          <w:szCs w:val="20"/>
          <w:lang w:val="es-ES_tradnl" w:eastAsia="en-GB"/>
        </w:rPr>
      </w:pPr>
      <w:r w:rsidRPr="00FB1FE7">
        <w:rPr>
          <w:rFonts w:ascii="Verdana" w:hAnsi="Verdana"/>
          <w:szCs w:val="20"/>
          <w:lang w:val="es-ES_tradnl"/>
        </w:rPr>
        <w:t>El Reglamento (CE) nº</w:t>
      </w:r>
      <w:r w:rsidR="00F818C1" w:rsidRPr="00FB1FE7">
        <w:rPr>
          <w:rFonts w:ascii="Verdana" w:hAnsi="Verdana"/>
          <w:szCs w:val="20"/>
          <w:lang w:val="es-ES_tradnl"/>
        </w:rPr>
        <w:t> </w:t>
      </w:r>
      <w:r w:rsidRPr="00FB1FE7">
        <w:rPr>
          <w:rFonts w:ascii="Verdana" w:hAnsi="Verdana"/>
          <w:szCs w:val="20"/>
          <w:lang w:val="es-ES_tradnl"/>
        </w:rPr>
        <w:t>1829/2003 sobre alimentos y piensos modificados genéticamente.</w:t>
      </w:r>
    </w:p>
    <w:p w:rsidR="00E016F1" w:rsidRPr="00FB1FE7" w:rsidRDefault="00F818C1" w:rsidP="00BE596F">
      <w:pPr>
        <w:numPr>
          <w:ilvl w:val="0"/>
          <w:numId w:val="39"/>
        </w:numPr>
        <w:autoSpaceDE w:val="0"/>
        <w:autoSpaceDN w:val="0"/>
        <w:adjustRightInd w:val="0"/>
        <w:spacing w:before="80" w:after="80"/>
        <w:jc w:val="both"/>
        <w:rPr>
          <w:rFonts w:ascii="Verdana" w:hAnsi="Verdana" w:cs="Arial"/>
          <w:szCs w:val="20"/>
          <w:lang w:val="es-ES_tradnl" w:eastAsia="en-GB"/>
        </w:rPr>
      </w:pPr>
      <w:r w:rsidRPr="00FB1FE7">
        <w:rPr>
          <w:rFonts w:ascii="Verdana" w:hAnsi="Verdana" w:cs="Arial"/>
          <w:szCs w:val="20"/>
          <w:lang w:val="es-ES_tradnl"/>
        </w:rPr>
        <w:t>El Reglamento (CE) nº </w:t>
      </w:r>
      <w:r w:rsidR="00E016F1" w:rsidRPr="00FB1FE7">
        <w:rPr>
          <w:rFonts w:ascii="Verdana" w:hAnsi="Verdana" w:cs="Arial"/>
          <w:szCs w:val="20"/>
          <w:lang w:val="es-ES_tradnl"/>
        </w:rPr>
        <w:t>767/2009 sobre la comercialización y la utilización de los piensos.</w:t>
      </w:r>
    </w:p>
    <w:p w:rsidR="00842911" w:rsidRPr="00FB1FE7" w:rsidRDefault="00E016F1" w:rsidP="00BE596F">
      <w:pPr>
        <w:numPr>
          <w:ilvl w:val="0"/>
          <w:numId w:val="39"/>
        </w:numPr>
        <w:autoSpaceDE w:val="0"/>
        <w:autoSpaceDN w:val="0"/>
        <w:adjustRightInd w:val="0"/>
        <w:spacing w:before="80" w:after="80"/>
        <w:jc w:val="both"/>
        <w:rPr>
          <w:rFonts w:ascii="Verdana" w:hAnsi="Verdana"/>
          <w:szCs w:val="20"/>
          <w:lang w:val="es-ES_tradnl" w:eastAsia="en-GB"/>
        </w:rPr>
      </w:pPr>
      <w:r w:rsidRPr="00FB1FE7">
        <w:rPr>
          <w:rFonts w:ascii="Verdana" w:hAnsi="Verdana"/>
          <w:szCs w:val="20"/>
          <w:lang w:val="es-ES_tradnl"/>
        </w:rPr>
        <w:t>El Reglamento (CE) nº 396/2005 relativo a los límites máximos de residuos de plaguicidas en alimentos y piensos de origen vegetal y animal.</w:t>
      </w:r>
    </w:p>
    <w:p w:rsidR="00842911" w:rsidRPr="00FB1FE7" w:rsidRDefault="00842911" w:rsidP="00BE596F">
      <w:pPr>
        <w:numPr>
          <w:ilvl w:val="0"/>
          <w:numId w:val="39"/>
        </w:numPr>
        <w:autoSpaceDE w:val="0"/>
        <w:autoSpaceDN w:val="0"/>
        <w:adjustRightInd w:val="0"/>
        <w:spacing w:before="80" w:after="80"/>
        <w:jc w:val="both"/>
        <w:rPr>
          <w:rFonts w:ascii="Verdana" w:hAnsi="Verdana"/>
          <w:szCs w:val="20"/>
          <w:lang w:val="es-ES_tradnl" w:eastAsia="en-GB"/>
        </w:rPr>
      </w:pPr>
      <w:r w:rsidRPr="00FB1FE7">
        <w:rPr>
          <w:rFonts w:ascii="Verdana" w:hAnsi="Verdana"/>
          <w:szCs w:val="20"/>
          <w:lang w:val="es-ES_tradnl"/>
        </w:rPr>
        <w:t>El Reglamento (UE) nº 68/2013 relativo al Catálogo de materias primas para piensos.</w:t>
      </w:r>
    </w:p>
    <w:p w:rsidR="005C6B94" w:rsidRPr="00FB1FE7" w:rsidRDefault="005C6B94" w:rsidP="00BE596F">
      <w:pPr>
        <w:numPr>
          <w:ilvl w:val="0"/>
          <w:numId w:val="39"/>
        </w:numPr>
        <w:autoSpaceDE w:val="0"/>
        <w:autoSpaceDN w:val="0"/>
        <w:adjustRightInd w:val="0"/>
        <w:spacing w:before="80" w:after="80"/>
        <w:jc w:val="both"/>
        <w:rPr>
          <w:rFonts w:ascii="Verdana" w:hAnsi="Verdana"/>
          <w:szCs w:val="20"/>
          <w:lang w:val="es-ES_tradnl" w:eastAsia="en-GB"/>
        </w:rPr>
      </w:pPr>
      <w:r w:rsidRPr="00FB1FE7">
        <w:rPr>
          <w:rFonts w:ascii="Verdana" w:hAnsi="Verdana"/>
          <w:szCs w:val="20"/>
          <w:lang w:val="es-ES_tradnl"/>
        </w:rPr>
        <w:t>El Reglamento (</w:t>
      </w:r>
      <w:r w:rsidR="00F508C9">
        <w:rPr>
          <w:rFonts w:ascii="Verdana" w:hAnsi="Verdana"/>
          <w:szCs w:val="20"/>
          <w:lang w:val="es-ES_tradnl"/>
        </w:rPr>
        <w:t>UE</w:t>
      </w:r>
      <w:r w:rsidRPr="00FB1FE7">
        <w:rPr>
          <w:rFonts w:ascii="Verdana" w:hAnsi="Verdana"/>
          <w:szCs w:val="20"/>
          <w:lang w:val="es-ES_tradnl"/>
        </w:rPr>
        <w:t>) nº</w:t>
      </w:r>
      <w:r w:rsidR="00F818C1" w:rsidRPr="00FB1FE7">
        <w:rPr>
          <w:rFonts w:ascii="Verdana" w:hAnsi="Verdana"/>
          <w:szCs w:val="20"/>
          <w:lang w:val="es-ES_tradnl"/>
        </w:rPr>
        <w:t> </w:t>
      </w:r>
      <w:r w:rsidRPr="00FB1FE7">
        <w:rPr>
          <w:rFonts w:ascii="Verdana" w:hAnsi="Verdana"/>
          <w:szCs w:val="20"/>
          <w:lang w:val="es-ES_tradnl"/>
        </w:rPr>
        <w:t>225/2012 relativo a la autorización de los establecimientos que comercializan para uso como piensos productos derivados de aceites vegetales y grasas mezcladas y en lo referente a los requisitos específicos de la producción, almacenamiento, transporte y detección de dioxinas en aceites, grasas y sus productos derivados.</w:t>
      </w:r>
    </w:p>
    <w:p w:rsidR="00E016F1" w:rsidRPr="00FB1FE7" w:rsidRDefault="00E016F1" w:rsidP="00BE596F">
      <w:pPr>
        <w:jc w:val="both"/>
        <w:rPr>
          <w:rFonts w:ascii="Verdana" w:hAnsi="Verdana"/>
          <w:szCs w:val="20"/>
          <w:lang w:val="es-ES_tradnl"/>
        </w:rPr>
      </w:pPr>
    </w:p>
    <w:p w:rsidR="00E016F1" w:rsidRPr="00FB1FE7" w:rsidRDefault="00E016F1" w:rsidP="00BE596F">
      <w:pPr>
        <w:jc w:val="both"/>
        <w:rPr>
          <w:rFonts w:ascii="Verdana" w:hAnsi="Verdana"/>
          <w:szCs w:val="20"/>
          <w:lang w:val="es-ES_tradnl"/>
        </w:rPr>
      </w:pPr>
      <w:r w:rsidRPr="00FB1FE7">
        <w:rPr>
          <w:rFonts w:ascii="Verdana" w:hAnsi="Verdana"/>
          <w:szCs w:val="20"/>
          <w:lang w:val="es-ES_tradnl"/>
        </w:rPr>
        <w:t>La siguiente lista de ejemplos no tiene carácter exhaustivo y deberá adaptarse de acuerdo con las circunstancias.</w:t>
      </w:r>
    </w:p>
    <w:p w:rsidR="00E016F1" w:rsidRPr="00FB1FE7" w:rsidRDefault="00E016F1" w:rsidP="00BE596F">
      <w:pPr>
        <w:rPr>
          <w:rFonts w:ascii="Verdana" w:hAnsi="Verdana"/>
          <w:szCs w:val="20"/>
          <w:lang w:val="es-ES_tradnl"/>
        </w:rPr>
      </w:pPr>
    </w:p>
    <w:p w:rsidR="00E016F1" w:rsidRPr="00FB1FE7" w:rsidRDefault="00E016F1" w:rsidP="00673F18">
      <w:pPr>
        <w:keepNext/>
        <w:rPr>
          <w:rFonts w:ascii="Verdana" w:hAnsi="Verdana"/>
          <w:b/>
          <w:bCs/>
          <w:iCs/>
          <w:szCs w:val="20"/>
          <w:lang w:val="es-ES_tradnl"/>
        </w:rPr>
      </w:pPr>
      <w:r w:rsidRPr="00FB1FE7">
        <w:rPr>
          <w:rFonts w:ascii="Verdana" w:hAnsi="Verdana"/>
          <w:b/>
          <w:bCs/>
          <w:iCs/>
          <w:szCs w:val="20"/>
          <w:lang w:val="es-ES_tradnl"/>
        </w:rPr>
        <w:t>Riesgos biológicos</w:t>
      </w:r>
    </w:p>
    <w:p w:rsidR="00E016F1" w:rsidRPr="00FB1FE7" w:rsidRDefault="00E016F1" w:rsidP="00673F18">
      <w:pPr>
        <w:keepNext/>
        <w:rPr>
          <w:rFonts w:ascii="Verdana" w:hAnsi="Verdana"/>
          <w:szCs w:val="20"/>
          <w:lang w:val="es-ES_tradnl"/>
        </w:rPr>
      </w:pP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 xml:space="preserve">Patógenos vegetativos relevantes, de acuerdo con </w:t>
      </w:r>
      <w:r w:rsidR="002B33BA">
        <w:rPr>
          <w:rFonts w:ascii="Verdana" w:hAnsi="Verdana"/>
          <w:szCs w:val="20"/>
          <w:lang w:val="es-ES_tradnl"/>
        </w:rPr>
        <w:t xml:space="preserve">el </w:t>
      </w:r>
      <w:r w:rsidR="002B33BA" w:rsidRPr="002B33BA">
        <w:rPr>
          <w:lang w:val="es-ES"/>
        </w:rPr>
        <w:t>Reglamento relativo a la higiene de los piensos</w:t>
      </w:r>
      <w:r w:rsidRPr="00FB1FE7">
        <w:rPr>
          <w:rFonts w:ascii="Verdana" w:hAnsi="Verdana"/>
          <w:szCs w:val="20"/>
          <w:lang w:val="es-ES_tradnl"/>
        </w:rPr>
        <w:t xml:space="preserve"> y con los correspondientes criterios microbiológicos.</w:t>
      </w:r>
    </w:p>
    <w:p w:rsidR="00E016F1" w:rsidRPr="00FB1FE7" w:rsidRDefault="00E016F1" w:rsidP="00BE596F">
      <w:pPr>
        <w:ind w:left="360"/>
        <w:jc w:val="both"/>
        <w:rPr>
          <w:rFonts w:ascii="Verdana" w:hAnsi="Verdana"/>
          <w:szCs w:val="20"/>
          <w:lang w:val="es-ES_tradnl"/>
        </w:rPr>
      </w:pPr>
    </w:p>
    <w:p w:rsidR="00E016F1" w:rsidRPr="00FB1FE7" w:rsidRDefault="00E016F1" w:rsidP="00673F18">
      <w:pPr>
        <w:keepNext/>
        <w:rPr>
          <w:rFonts w:ascii="Verdana" w:hAnsi="Verdana"/>
          <w:b/>
          <w:bCs/>
          <w:iCs/>
          <w:szCs w:val="20"/>
          <w:lang w:val="es-ES_tradnl"/>
        </w:rPr>
      </w:pPr>
      <w:r w:rsidRPr="00FB1FE7">
        <w:rPr>
          <w:rFonts w:ascii="Verdana" w:hAnsi="Verdana"/>
          <w:b/>
          <w:bCs/>
          <w:iCs/>
          <w:szCs w:val="20"/>
          <w:lang w:val="es-ES_tradnl"/>
        </w:rPr>
        <w:t>Riesgos químicos potenciales</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Productos químicos utilizados en el procesamiento</w:t>
      </w:r>
      <w:r w:rsidR="002B33BA">
        <w:rPr>
          <w:rFonts w:ascii="Verdana" w:hAnsi="Verdana"/>
          <w:szCs w:val="20"/>
          <w:lang w:val="es-ES_tradnl"/>
        </w:rPr>
        <w:t>,</w:t>
      </w:r>
      <w:r w:rsidRPr="00FB1FE7">
        <w:rPr>
          <w:rFonts w:ascii="Verdana" w:hAnsi="Verdana"/>
          <w:szCs w:val="20"/>
          <w:lang w:val="es-ES_tradnl"/>
        </w:rPr>
        <w:t xml:space="preserve"> coadyuvantes tecnológicos</w:t>
      </w:r>
      <w:r w:rsidR="002B33BA">
        <w:rPr>
          <w:rFonts w:ascii="Verdana" w:hAnsi="Verdana"/>
          <w:szCs w:val="20"/>
          <w:lang w:val="es-ES_tradnl"/>
        </w:rPr>
        <w:t xml:space="preserve"> y </w:t>
      </w:r>
      <w:r w:rsidRPr="00FB1FE7">
        <w:rPr>
          <w:rFonts w:ascii="Verdana" w:hAnsi="Verdana"/>
          <w:szCs w:val="20"/>
          <w:lang w:val="es-ES_tradnl"/>
        </w:rPr>
        <w:t xml:space="preserve">antioxidantes </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lastRenderedPageBreak/>
        <w:t>Micotoxinas</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Metales pesados</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Residuos de plaguicidas</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BPC, dioxinas</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 xml:space="preserve">Hidrocarburos aromáticos policíclicos (HAP) </w:t>
      </w:r>
    </w:p>
    <w:p w:rsidR="00E016F1" w:rsidRPr="00FB1FE7" w:rsidRDefault="00FC7C00"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Lubricantes (de calidad no alimentaria)</w:t>
      </w:r>
    </w:p>
    <w:p w:rsidR="00E016F1" w:rsidRPr="00A24EA6"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 xml:space="preserve">Productos </w:t>
      </w:r>
      <w:r w:rsidR="0049024D" w:rsidRPr="00A24EA6">
        <w:rPr>
          <w:rFonts w:ascii="Verdana" w:hAnsi="Verdana"/>
          <w:szCs w:val="20"/>
          <w:lang w:val="es-ES_tradnl"/>
        </w:rPr>
        <w:t>químicos para el control de plagas</w:t>
      </w:r>
    </w:p>
    <w:p w:rsidR="00E016F1" w:rsidRPr="00FB1FE7" w:rsidRDefault="00E016F1" w:rsidP="00BE596F">
      <w:pPr>
        <w:rPr>
          <w:rFonts w:ascii="Verdana" w:hAnsi="Verdana"/>
          <w:b/>
          <w:bCs/>
          <w:i/>
          <w:iCs/>
          <w:szCs w:val="20"/>
          <w:lang w:val="es-ES_tradnl"/>
        </w:rPr>
      </w:pPr>
    </w:p>
    <w:p w:rsidR="00E016F1" w:rsidRPr="00FB1FE7" w:rsidRDefault="00E016F1" w:rsidP="00BE596F">
      <w:pPr>
        <w:jc w:val="both"/>
        <w:rPr>
          <w:rFonts w:ascii="Verdana" w:hAnsi="Verdana"/>
          <w:bCs/>
          <w:iCs/>
          <w:szCs w:val="20"/>
          <w:lang w:val="es-ES_tradnl"/>
        </w:rPr>
      </w:pPr>
      <w:r w:rsidRPr="00FB1FE7">
        <w:rPr>
          <w:rFonts w:ascii="Verdana" w:hAnsi="Verdana"/>
          <w:bCs/>
          <w:iCs/>
          <w:szCs w:val="20"/>
          <w:lang w:val="es-ES_tradnl"/>
        </w:rPr>
        <w:t>El uso de coadyuvantes tecnológicos se incluirá en el análisis del riesgo realizado por el operador de acuerdo con los requisitos del apartado 6 de la Guía.</w:t>
      </w:r>
    </w:p>
    <w:p w:rsidR="00E016F1" w:rsidRPr="00FB1FE7" w:rsidRDefault="00E016F1" w:rsidP="00BE596F">
      <w:pPr>
        <w:jc w:val="both"/>
        <w:rPr>
          <w:rFonts w:ascii="Verdana" w:hAnsi="Verdana"/>
          <w:bCs/>
          <w:iCs/>
          <w:szCs w:val="20"/>
          <w:lang w:val="es-ES_tradnl"/>
        </w:rPr>
      </w:pPr>
    </w:p>
    <w:p w:rsidR="00E016F1" w:rsidRPr="00FB1FE7" w:rsidRDefault="00E016F1" w:rsidP="00673F18">
      <w:pPr>
        <w:keepNext/>
        <w:rPr>
          <w:rFonts w:ascii="Verdana" w:hAnsi="Verdana"/>
          <w:b/>
          <w:bCs/>
          <w:iCs/>
          <w:szCs w:val="20"/>
          <w:lang w:val="es-ES_tradnl"/>
        </w:rPr>
      </w:pPr>
      <w:r w:rsidRPr="00FB1FE7">
        <w:rPr>
          <w:rFonts w:ascii="Verdana" w:hAnsi="Verdana"/>
          <w:b/>
          <w:bCs/>
          <w:iCs/>
          <w:szCs w:val="20"/>
          <w:lang w:val="es-ES_tradnl"/>
        </w:rPr>
        <w:t>Riesgos de contaminación física</w:t>
      </w:r>
    </w:p>
    <w:p w:rsidR="00E016F1" w:rsidRPr="00FB1FE7" w:rsidRDefault="005C6B94"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Contaminación física, p.ej. metales y vidrio</w:t>
      </w:r>
    </w:p>
    <w:p w:rsidR="00E016F1" w:rsidRPr="00FB1FE7" w:rsidRDefault="00E016F1" w:rsidP="00BE596F">
      <w:pPr>
        <w:spacing w:before="120"/>
        <w:rPr>
          <w:rFonts w:ascii="Verdana" w:hAnsi="Verdana"/>
          <w:szCs w:val="20"/>
          <w:lang w:val="es-ES_tradnl"/>
        </w:rPr>
      </w:pPr>
    </w:p>
    <w:p w:rsidR="00E016F1" w:rsidRPr="00FB1FE7" w:rsidRDefault="00E016F1" w:rsidP="00673F18">
      <w:pPr>
        <w:keepNext/>
        <w:spacing w:before="120"/>
        <w:rPr>
          <w:rFonts w:ascii="Verdana" w:hAnsi="Verdana"/>
          <w:b/>
          <w:szCs w:val="20"/>
          <w:lang w:val="es-ES_tradnl"/>
        </w:rPr>
      </w:pPr>
      <w:r w:rsidRPr="00FB1FE7">
        <w:rPr>
          <w:rFonts w:ascii="Verdana" w:hAnsi="Verdana"/>
          <w:b/>
          <w:szCs w:val="20"/>
          <w:lang w:val="es-ES_tradnl"/>
        </w:rPr>
        <w:t>Riesgos radiactivos</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Radionucleidos (tras un accidente nuclear)</w:t>
      </w:r>
    </w:p>
    <w:p w:rsidR="00E016F1" w:rsidRPr="00FB1FE7" w:rsidRDefault="00E016F1" w:rsidP="00BE596F">
      <w:pPr>
        <w:rPr>
          <w:rFonts w:ascii="Verdana" w:hAnsi="Verdana"/>
          <w:szCs w:val="20"/>
          <w:lang w:val="es-ES_tradnl"/>
        </w:rPr>
      </w:pPr>
    </w:p>
    <w:p w:rsidR="00E016F1" w:rsidRPr="00FB1FE7" w:rsidRDefault="00E016F1" w:rsidP="00BE596F">
      <w:pPr>
        <w:pStyle w:val="Heading2"/>
        <w:rPr>
          <w:lang w:val="es-ES_tradnl"/>
        </w:rPr>
      </w:pPr>
      <w:bookmarkStart w:id="17" w:name="Ris_base_approach"/>
      <w:bookmarkStart w:id="18" w:name="_Toc436281180"/>
      <w:r w:rsidRPr="00FB1FE7">
        <w:rPr>
          <w:lang w:val="es-ES_tradnl"/>
        </w:rPr>
        <w:t xml:space="preserve">Enfoque basado en el riesgo </w:t>
      </w:r>
      <w:bookmarkEnd w:id="17"/>
      <w:r w:rsidRPr="00FB1FE7">
        <w:rPr>
          <w:lang w:val="es-ES_tradnl"/>
        </w:rPr>
        <w:t>para la caracterización de los riesgos aplicables a las materias primas para piensos obtenidas en la fabricación de biodiésel</w:t>
      </w:r>
      <w:bookmarkEnd w:id="18"/>
    </w:p>
    <w:p w:rsidR="00CB2462" w:rsidRPr="00FB1FE7" w:rsidRDefault="00CB2462" w:rsidP="00673F18">
      <w:pPr>
        <w:pStyle w:val="BodyTextIndent2"/>
        <w:keepNext/>
        <w:tabs>
          <w:tab w:val="left" w:pos="0"/>
        </w:tabs>
        <w:spacing w:line="240" w:lineRule="auto"/>
        <w:ind w:left="0" w:right="360"/>
        <w:jc w:val="both"/>
        <w:rPr>
          <w:rFonts w:cs="Tahoma"/>
          <w:szCs w:val="20"/>
          <w:u w:val="single"/>
          <w:lang w:val="es-ES_tradnl"/>
        </w:rPr>
      </w:pPr>
    </w:p>
    <w:p w:rsidR="00E016F1" w:rsidRPr="00FB1FE7" w:rsidRDefault="00E016F1" w:rsidP="00BE596F">
      <w:pPr>
        <w:pStyle w:val="BodyTextIndent2"/>
        <w:tabs>
          <w:tab w:val="left" w:pos="0"/>
          <w:tab w:val="left" w:pos="9200"/>
        </w:tabs>
        <w:spacing w:line="240" w:lineRule="auto"/>
        <w:ind w:left="0" w:right="13"/>
        <w:jc w:val="both"/>
        <w:rPr>
          <w:rFonts w:ascii="Verdana" w:hAnsi="Verdana"/>
          <w:szCs w:val="20"/>
          <w:lang w:val="es-ES_tradnl"/>
        </w:rPr>
      </w:pPr>
      <w:r w:rsidRPr="00FB1FE7">
        <w:rPr>
          <w:rFonts w:ascii="Verdana" w:hAnsi="Verdana"/>
          <w:szCs w:val="20"/>
          <w:lang w:val="es-ES_tradnl"/>
        </w:rPr>
        <w:t>Los cuadros siguientes presentan la caracterización de los riesgos aplicables a los productos derivados de la fabricación del biodiésel y comercializados como materias primas para piensos. Para una mejor comprensión de los cuadros siguientes relativos a la evaluación del riesgo, se ruega consultar el texto principal de EFISC, en particular su capítulo 6 relativo al sistema HACCP.</w:t>
      </w:r>
    </w:p>
    <w:p w:rsidR="00E016F1" w:rsidRPr="00FB1FE7" w:rsidRDefault="00E016F1" w:rsidP="00BE596F">
      <w:pPr>
        <w:jc w:val="both"/>
        <w:rPr>
          <w:rFonts w:ascii="Verdana" w:hAnsi="Verdana"/>
          <w:szCs w:val="20"/>
          <w:lang w:val="es-ES_tradnl"/>
        </w:rPr>
      </w:pPr>
      <w:r w:rsidRPr="00FB1FE7">
        <w:rPr>
          <w:rFonts w:ascii="Verdana" w:hAnsi="Verdana"/>
          <w:szCs w:val="20"/>
          <w:lang w:val="es-ES_tradnl"/>
        </w:rPr>
        <w:t xml:space="preserve">Esta relación de riesgos no deberá considerarse exhaustiva, y podrá variar entre los fabricantes de biodiésel en función de sus características individuales y del tipo de procesamiento específico de cada fabricante. </w:t>
      </w:r>
    </w:p>
    <w:p w:rsidR="00E016F1" w:rsidRPr="00FB1FE7" w:rsidRDefault="00E016F1" w:rsidP="00BE596F">
      <w:pPr>
        <w:jc w:val="both"/>
        <w:rPr>
          <w:rFonts w:ascii="Verdana" w:hAnsi="Verdana"/>
          <w:szCs w:val="20"/>
          <w:lang w:val="es-ES_tradnl"/>
        </w:rPr>
      </w:pPr>
    </w:p>
    <w:p w:rsidR="00E016F1" w:rsidRPr="00FB1FE7" w:rsidRDefault="00E016F1" w:rsidP="00BE596F">
      <w:pPr>
        <w:jc w:val="both"/>
        <w:rPr>
          <w:rFonts w:ascii="Verdana" w:hAnsi="Verdana"/>
          <w:szCs w:val="20"/>
          <w:lang w:val="es-ES_tradnl"/>
        </w:rPr>
      </w:pPr>
      <w:r w:rsidRPr="00FB1FE7">
        <w:rPr>
          <w:rFonts w:ascii="Verdana" w:hAnsi="Verdana"/>
          <w:szCs w:val="20"/>
          <w:lang w:val="es-ES_tradnl"/>
        </w:rPr>
        <w:t>Al definir los riesgos, los fabricantes de biodiésel han adoptado un nivel de detalle adecuado a las características de sus procesos específicos.</w:t>
      </w:r>
    </w:p>
    <w:p w:rsidR="00E016F1" w:rsidRPr="00FB1FE7" w:rsidRDefault="00E016F1" w:rsidP="00BE596F">
      <w:pPr>
        <w:jc w:val="both"/>
        <w:rPr>
          <w:rFonts w:ascii="Verdana" w:hAnsi="Verdana"/>
          <w:szCs w:val="20"/>
          <w:lang w:val="es-ES_tradnl"/>
        </w:rPr>
      </w:pPr>
    </w:p>
    <w:p w:rsidR="00E016F1" w:rsidRPr="00FB1FE7" w:rsidRDefault="00E016F1" w:rsidP="00BE596F">
      <w:pPr>
        <w:jc w:val="both"/>
        <w:rPr>
          <w:rFonts w:ascii="Verdana" w:hAnsi="Verdana"/>
          <w:szCs w:val="20"/>
          <w:lang w:val="es-ES_tradnl"/>
        </w:rPr>
      </w:pPr>
    </w:p>
    <w:p w:rsidR="00E016F1" w:rsidRPr="00FB1FE7" w:rsidRDefault="00E016F1" w:rsidP="00673F18">
      <w:pPr>
        <w:keepNext/>
        <w:spacing w:before="120"/>
        <w:jc w:val="both"/>
        <w:rPr>
          <w:rFonts w:ascii="Verdana" w:hAnsi="Verdana"/>
          <w:szCs w:val="20"/>
          <w:lang w:val="es-ES_tradnl"/>
        </w:rPr>
      </w:pPr>
      <w:r w:rsidRPr="00FB1FE7">
        <w:rPr>
          <w:rFonts w:ascii="Verdana" w:hAnsi="Verdana"/>
          <w:szCs w:val="20"/>
          <w:lang w:val="es-ES_tradnl"/>
        </w:rPr>
        <w:t xml:space="preserve">Se han tenido en cuenta tres categorías de riesgos: </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Riesgos biológicos</w:t>
      </w:r>
      <w:r w:rsidR="0049024D" w:rsidRPr="00FB1FE7">
        <w:rPr>
          <w:rFonts w:ascii="Verdana" w:hAnsi="Verdana"/>
          <w:szCs w:val="20"/>
          <w:lang w:val="es-ES_tradnl"/>
        </w:rPr>
        <w:t>;</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Riesgos químicos</w:t>
      </w:r>
      <w:r w:rsidR="0049024D" w:rsidRPr="00FB1FE7">
        <w:rPr>
          <w:rFonts w:ascii="Verdana" w:hAnsi="Verdana"/>
          <w:szCs w:val="20"/>
          <w:lang w:val="es-ES_tradnl"/>
        </w:rPr>
        <w:t>;</w:t>
      </w:r>
      <w:r w:rsidRPr="00FB1FE7">
        <w:rPr>
          <w:rFonts w:ascii="Verdana" w:hAnsi="Verdana"/>
          <w:szCs w:val="20"/>
          <w:lang w:val="es-ES_tradnl"/>
        </w:rPr>
        <w:t xml:space="preserve"> y </w:t>
      </w:r>
    </w:p>
    <w:p w:rsidR="00E016F1" w:rsidRPr="00FB1FE7" w:rsidRDefault="00E016F1" w:rsidP="000137B0">
      <w:pPr>
        <w:numPr>
          <w:ilvl w:val="0"/>
          <w:numId w:val="39"/>
        </w:numPr>
        <w:autoSpaceDE w:val="0"/>
        <w:autoSpaceDN w:val="0"/>
        <w:adjustRightInd w:val="0"/>
        <w:spacing w:before="80" w:after="80"/>
        <w:jc w:val="both"/>
        <w:rPr>
          <w:rFonts w:ascii="Verdana" w:hAnsi="Verdana"/>
          <w:szCs w:val="20"/>
          <w:lang w:val="es-ES_tradnl"/>
        </w:rPr>
      </w:pPr>
      <w:r w:rsidRPr="00FB1FE7">
        <w:rPr>
          <w:rFonts w:ascii="Verdana" w:hAnsi="Verdana"/>
          <w:szCs w:val="20"/>
          <w:lang w:val="es-ES_tradnl"/>
        </w:rPr>
        <w:t>Riesgos físicos.</w:t>
      </w:r>
    </w:p>
    <w:p w:rsidR="00E4063B" w:rsidRPr="00FB1FE7" w:rsidRDefault="007C09D3" w:rsidP="00BE596F">
      <w:pPr>
        <w:rPr>
          <w:rFonts w:ascii="Verdana" w:hAnsi="Verdana"/>
          <w:b/>
          <w:lang w:val="es-ES_tradnl"/>
        </w:rPr>
      </w:pPr>
      <w:r w:rsidRPr="00FB1FE7">
        <w:rPr>
          <w:rFonts w:ascii="Verdana" w:hAnsi="Verdana"/>
          <w:b/>
          <w:lang w:val="es-ES_tradnl"/>
        </w:rPr>
        <w:br w:type="page"/>
      </w:r>
    </w:p>
    <w:p w:rsidR="00B631D4" w:rsidRPr="00FB1FE7" w:rsidRDefault="00B631D4" w:rsidP="00BE596F">
      <w:pPr>
        <w:pStyle w:val="Heading2"/>
        <w:rPr>
          <w:rFonts w:ascii="Verdana" w:hAnsi="Verdana"/>
          <w:lang w:val="es-ES_tradnl"/>
        </w:rPr>
      </w:pPr>
      <w:bookmarkStart w:id="19" w:name="_Toc436281181"/>
      <w:r w:rsidRPr="00FB1FE7">
        <w:rPr>
          <w:rFonts w:ascii="Verdana" w:hAnsi="Verdana"/>
          <w:lang w:val="es-ES_tradnl"/>
        </w:rPr>
        <w:lastRenderedPageBreak/>
        <w:t>Procedimiento para la realización de la evaluación del riesgo</w:t>
      </w:r>
      <w:bookmarkEnd w:id="19"/>
    </w:p>
    <w:p w:rsidR="00E0569C" w:rsidRPr="00FB1FE7" w:rsidRDefault="00E0569C" w:rsidP="00BE596F">
      <w:pPr>
        <w:pStyle w:val="Heading2"/>
        <w:numPr>
          <w:ilvl w:val="0"/>
          <w:numId w:val="0"/>
        </w:numPr>
        <w:rPr>
          <w:rFonts w:ascii="Verdana" w:hAnsi="Verdana"/>
          <w:lang w:val="es-ES_tradnl"/>
        </w:rPr>
      </w:pPr>
      <w:bookmarkStart w:id="20" w:name="_Toc348535624"/>
      <w:bookmarkStart w:id="21" w:name="_Toc349810400"/>
    </w:p>
    <w:p w:rsidR="00AB1F25" w:rsidRPr="00FB1FE7" w:rsidRDefault="00AB1F25" w:rsidP="00673F18">
      <w:pPr>
        <w:keepNext/>
        <w:ind w:left="567"/>
        <w:rPr>
          <w:rFonts w:cs="Tahoma"/>
          <w:szCs w:val="20"/>
          <w:u w:val="single"/>
          <w:lang w:val="es-ES_tradnl"/>
        </w:rPr>
      </w:pPr>
      <w:r w:rsidRPr="00FB1FE7">
        <w:rPr>
          <w:rFonts w:cs="Tahoma"/>
          <w:szCs w:val="20"/>
          <w:u w:val="single"/>
          <w:lang w:val="es-ES_tradnl"/>
        </w:rPr>
        <w:t>El EBB ha adoptado la metodología descrita en el capítulo 6 de la Guía, relativo al sistema HACCP.</w:t>
      </w:r>
    </w:p>
    <w:p w:rsidR="00AB1F25" w:rsidRPr="00FB1FE7" w:rsidRDefault="00AB1F25" w:rsidP="00673F18">
      <w:pPr>
        <w:rPr>
          <w:lang w:val="es-ES_tradnl"/>
        </w:rPr>
      </w:pPr>
    </w:p>
    <w:p w:rsidR="00D10ECC" w:rsidRPr="00FB1FE7" w:rsidRDefault="00D10ECC" w:rsidP="00673F18">
      <w:pPr>
        <w:pStyle w:val="Heading3"/>
        <w:keepNext w:val="0"/>
        <w:jc w:val="both"/>
        <w:rPr>
          <w:lang w:val="es-ES_tradnl"/>
        </w:rPr>
      </w:pPr>
      <w:bookmarkStart w:id="22" w:name="_Toc350504669"/>
      <w:bookmarkStart w:id="23" w:name="_Toc354403041"/>
      <w:bookmarkStart w:id="24" w:name="_Toc354998622"/>
      <w:r w:rsidRPr="00FB1FE7">
        <w:rPr>
          <w:lang w:val="es-ES_tradnl"/>
        </w:rPr>
        <w:t>Procesamiento del biodiésel: El EBB ha elaborado un diagrama de flujo que abarca todas las fases de la fabricación del biodiésel: transporte y recepción de las materias primas, almacenamiento, aplicación de los coadyuvantes tecnológicos, separación de los materiales mediante la transesterificación</w:t>
      </w:r>
      <w:r w:rsidR="002B33BA">
        <w:rPr>
          <w:lang w:val="es-ES_tradnl"/>
        </w:rPr>
        <w:t xml:space="preserve"> y</w:t>
      </w:r>
      <w:r w:rsidRPr="00FB1FE7">
        <w:rPr>
          <w:lang w:val="es-ES_tradnl"/>
        </w:rPr>
        <w:t xml:space="preserve"> lavado</w:t>
      </w:r>
      <w:r w:rsidR="002B33BA">
        <w:rPr>
          <w:lang w:val="es-ES_tradnl"/>
        </w:rPr>
        <w:t xml:space="preserve"> (tras las que se obtiene el producto final, es decir, </w:t>
      </w:r>
      <w:r w:rsidRPr="00FB1FE7">
        <w:rPr>
          <w:lang w:val="es-ES_tradnl"/>
        </w:rPr>
        <w:t>biodiésel y glicerina en bruto</w:t>
      </w:r>
      <w:r w:rsidR="002B33BA">
        <w:rPr>
          <w:lang w:val="es-ES_tradnl"/>
        </w:rPr>
        <w:t xml:space="preserve">), seguidas del </w:t>
      </w:r>
      <w:r w:rsidRPr="00FB1FE7">
        <w:rPr>
          <w:lang w:val="es-ES_tradnl"/>
        </w:rPr>
        <w:t xml:space="preserve">almacenamiento y </w:t>
      </w:r>
      <w:r w:rsidR="002B33BA">
        <w:rPr>
          <w:lang w:val="es-ES_tradnl"/>
        </w:rPr>
        <w:t xml:space="preserve">el </w:t>
      </w:r>
      <w:r w:rsidRPr="00FB1FE7">
        <w:rPr>
          <w:lang w:val="es-ES_tradnl"/>
        </w:rPr>
        <w:t>transporte.</w:t>
      </w:r>
      <w:bookmarkEnd w:id="20"/>
      <w:bookmarkEnd w:id="21"/>
      <w:bookmarkEnd w:id="22"/>
      <w:bookmarkEnd w:id="23"/>
      <w:bookmarkEnd w:id="24"/>
    </w:p>
    <w:p w:rsidR="00793196" w:rsidRPr="00FB1FE7" w:rsidRDefault="00793196" w:rsidP="00673F18">
      <w:pPr>
        <w:ind w:left="567"/>
        <w:jc w:val="both"/>
        <w:rPr>
          <w:rFonts w:ascii="Verdana" w:hAnsi="Verdana"/>
          <w:lang w:val="es-ES_tradnl"/>
        </w:rPr>
      </w:pPr>
    </w:p>
    <w:p w:rsidR="00E252E3" w:rsidRPr="00FB1FE7" w:rsidRDefault="00793196" w:rsidP="00673F18">
      <w:pPr>
        <w:pStyle w:val="Heading3"/>
        <w:keepNext w:val="0"/>
        <w:jc w:val="both"/>
        <w:rPr>
          <w:rFonts w:ascii="Verdana" w:hAnsi="Verdana"/>
          <w:lang w:val="es-ES_tradnl"/>
        </w:rPr>
      </w:pPr>
      <w:bookmarkStart w:id="25" w:name="_Toc348535625"/>
      <w:bookmarkStart w:id="26" w:name="_Toc349810401"/>
      <w:bookmarkStart w:id="27" w:name="_Toc350504670"/>
      <w:bookmarkStart w:id="28" w:name="_Toc354403042"/>
      <w:bookmarkStart w:id="29" w:name="_Toc354998623"/>
      <w:r w:rsidRPr="00FB1FE7">
        <w:rPr>
          <w:rFonts w:ascii="Verdana" w:hAnsi="Verdana"/>
          <w:lang w:val="es-ES_tradnl"/>
        </w:rPr>
        <w:t>En cuanto a las fases del procesamiento, se han descrito frecuentemente los riesgos relacionados con los suministros básicos. Un riesgo para la seguridad es todo agente biológico (B), químico (Q) o físico (F) presente en un producto, o toda condición biológica, química o física de un producto que pueda causar un efecto perjudicial para la salud humana o animal.</w:t>
      </w:r>
      <w:bookmarkEnd w:id="25"/>
      <w:bookmarkEnd w:id="26"/>
      <w:bookmarkEnd w:id="27"/>
      <w:bookmarkEnd w:id="28"/>
      <w:bookmarkEnd w:id="29"/>
    </w:p>
    <w:p w:rsidR="00E252E3" w:rsidRPr="00FB1FE7" w:rsidRDefault="00E252E3" w:rsidP="00673F18">
      <w:pPr>
        <w:pStyle w:val="Heading3"/>
        <w:keepNext w:val="0"/>
        <w:numPr>
          <w:ilvl w:val="0"/>
          <w:numId w:val="0"/>
        </w:numPr>
        <w:ind w:left="567"/>
        <w:jc w:val="both"/>
        <w:rPr>
          <w:rFonts w:ascii="Verdana" w:hAnsi="Verdana"/>
          <w:lang w:val="es-ES_tradnl"/>
        </w:rPr>
      </w:pPr>
    </w:p>
    <w:p w:rsidR="00D821F8" w:rsidRPr="00FB1FE7" w:rsidRDefault="00E252E3" w:rsidP="00673F18">
      <w:pPr>
        <w:pStyle w:val="Heading3"/>
        <w:keepNext w:val="0"/>
        <w:jc w:val="both"/>
        <w:rPr>
          <w:rFonts w:ascii="Verdana" w:hAnsi="Verdana"/>
          <w:lang w:val="es-ES_tradnl"/>
        </w:rPr>
      </w:pPr>
      <w:bookmarkStart w:id="30" w:name="_Toc348535626"/>
      <w:bookmarkStart w:id="31" w:name="_Toc349810402"/>
      <w:bookmarkStart w:id="32" w:name="_Toc350504671"/>
      <w:bookmarkStart w:id="33" w:name="_Toc354403043"/>
      <w:bookmarkStart w:id="34" w:name="_Toc354998624"/>
      <w:r w:rsidRPr="00FB1FE7">
        <w:rPr>
          <w:rFonts w:ascii="Verdana" w:hAnsi="Verdana"/>
          <w:lang w:val="es-ES_tradnl"/>
        </w:rPr>
        <w:t>Se ha llevado a cabo una evaluación basada en el riesgo en aquellos eslabones de la cadena del proceso de producción que están relacionados directamente con la actividad profesional de los miembros del EBB.</w:t>
      </w:r>
    </w:p>
    <w:p w:rsidR="00D821F8" w:rsidRPr="00FB1FE7" w:rsidRDefault="00D821F8" w:rsidP="00673F18">
      <w:pPr>
        <w:rPr>
          <w:lang w:val="es-ES_tradnl"/>
        </w:rPr>
      </w:pPr>
    </w:p>
    <w:p w:rsidR="00D821F8" w:rsidRPr="00FB1FE7" w:rsidRDefault="00D821F8" w:rsidP="00673F18">
      <w:pPr>
        <w:pStyle w:val="Heading3"/>
        <w:keepNext w:val="0"/>
        <w:jc w:val="both"/>
        <w:rPr>
          <w:rFonts w:ascii="Verdana" w:hAnsi="Verdana"/>
          <w:szCs w:val="20"/>
          <w:lang w:val="es-ES_tradnl"/>
        </w:rPr>
      </w:pPr>
      <w:r w:rsidRPr="00FB1FE7">
        <w:rPr>
          <w:rFonts w:ascii="Verdana" w:hAnsi="Verdana"/>
          <w:lang w:val="es-ES_tradnl"/>
        </w:rPr>
        <w:t>Como se ha indicado anteriormente, esta relación de riesgos no deberá considerarse exhaustiva, y podrá variar entre los fabricantes de biodiésel en función de sus características individuales y del tipo de procesamiento específico de cada fabricante.</w:t>
      </w:r>
    </w:p>
    <w:p w:rsidR="00D821F8" w:rsidRPr="00FB1FE7" w:rsidRDefault="00D821F8" w:rsidP="00673F18">
      <w:pPr>
        <w:pStyle w:val="Heading3"/>
        <w:keepNext w:val="0"/>
        <w:numPr>
          <w:ilvl w:val="0"/>
          <w:numId w:val="0"/>
        </w:numPr>
        <w:ind w:left="1440" w:hanging="720"/>
        <w:jc w:val="both"/>
        <w:rPr>
          <w:rFonts w:ascii="Verdana" w:hAnsi="Verdana"/>
          <w:szCs w:val="20"/>
          <w:lang w:val="es-ES_tradnl"/>
        </w:rPr>
      </w:pPr>
    </w:p>
    <w:p w:rsidR="0062274A" w:rsidRPr="00FB1FE7" w:rsidRDefault="0062274A" w:rsidP="00673F18">
      <w:pPr>
        <w:pStyle w:val="Heading3"/>
        <w:keepNext w:val="0"/>
        <w:numPr>
          <w:ilvl w:val="0"/>
          <w:numId w:val="0"/>
        </w:numPr>
        <w:ind w:left="1440" w:hanging="24"/>
        <w:jc w:val="both"/>
        <w:rPr>
          <w:rFonts w:ascii="Verdana" w:hAnsi="Verdana"/>
          <w:szCs w:val="20"/>
          <w:lang w:val="es-ES_tradnl"/>
        </w:rPr>
      </w:pPr>
      <w:r w:rsidRPr="00FB1FE7">
        <w:rPr>
          <w:rFonts w:ascii="Verdana" w:hAnsi="Verdana"/>
          <w:szCs w:val="20"/>
          <w:lang w:val="es-ES_tradnl"/>
        </w:rPr>
        <w:t>Por otro lado, en estos cuadros no se incluye ningún programa de prerrequistos operativos (</w:t>
      </w:r>
      <w:r w:rsidR="00525322" w:rsidRPr="00FB1FE7">
        <w:rPr>
          <w:rFonts w:ascii="Verdana" w:hAnsi="Verdana"/>
          <w:szCs w:val="20"/>
          <w:lang w:val="es-ES_tradnl"/>
        </w:rPr>
        <w:t>PPR</w:t>
      </w:r>
      <w:r w:rsidR="004C1DB8" w:rsidRPr="00FB1FE7">
        <w:rPr>
          <w:rFonts w:ascii="Verdana" w:hAnsi="Verdana"/>
          <w:szCs w:val="20"/>
          <w:lang w:val="es-ES_tradnl"/>
        </w:rPr>
        <w:t xml:space="preserve"> operativos</w:t>
      </w:r>
      <w:r w:rsidRPr="00FB1FE7">
        <w:rPr>
          <w:rFonts w:ascii="Verdana" w:hAnsi="Verdana"/>
          <w:szCs w:val="20"/>
          <w:lang w:val="es-ES_tradnl"/>
        </w:rPr>
        <w:t xml:space="preserve">) ni punto de control crítico (PCC), debido a que las decisiones que conducen a la definición de dichos </w:t>
      </w:r>
      <w:r w:rsidR="004C1DB8" w:rsidRPr="00FB1FE7">
        <w:rPr>
          <w:rFonts w:ascii="Verdana" w:hAnsi="Verdana"/>
          <w:szCs w:val="20"/>
          <w:lang w:val="es-ES_tradnl"/>
        </w:rPr>
        <w:t>PRP operativos</w:t>
      </w:r>
      <w:r w:rsidRPr="00FB1FE7">
        <w:rPr>
          <w:rFonts w:ascii="Verdana" w:hAnsi="Verdana"/>
          <w:szCs w:val="20"/>
          <w:lang w:val="es-ES_tradnl"/>
        </w:rPr>
        <w:t xml:space="preserve"> o PCC deberán tener en cuenta la situación real de cada centro o línea de producción.</w:t>
      </w:r>
    </w:p>
    <w:p w:rsidR="0062274A" w:rsidRPr="00FB1FE7" w:rsidRDefault="0062274A" w:rsidP="00673F18">
      <w:pPr>
        <w:rPr>
          <w:lang w:val="es-ES_tradnl"/>
        </w:rPr>
      </w:pPr>
    </w:p>
    <w:p w:rsidR="00E252E3" w:rsidRPr="00FB1FE7" w:rsidRDefault="00C20A50" w:rsidP="00673F18">
      <w:pPr>
        <w:pStyle w:val="Heading3"/>
        <w:keepNext w:val="0"/>
        <w:rPr>
          <w:rFonts w:ascii="Verdana" w:hAnsi="Verdana"/>
          <w:lang w:val="es-ES_tradnl"/>
        </w:rPr>
      </w:pPr>
      <w:bookmarkStart w:id="35" w:name="_Toc349810404"/>
      <w:bookmarkStart w:id="36" w:name="_Toc350504673"/>
      <w:bookmarkStart w:id="37" w:name="_Toc354403045"/>
      <w:bookmarkStart w:id="38" w:name="_Toc354998626"/>
      <w:bookmarkEnd w:id="30"/>
      <w:bookmarkEnd w:id="31"/>
      <w:bookmarkEnd w:id="32"/>
      <w:bookmarkEnd w:id="33"/>
      <w:bookmarkEnd w:id="34"/>
      <w:r w:rsidRPr="00FB1FE7">
        <w:rPr>
          <w:rFonts w:ascii="Verdana" w:hAnsi="Verdana"/>
          <w:lang w:val="es-ES_tradnl"/>
        </w:rPr>
        <w:t>El EBB ha justificado debidamente su evaluación del riesgo.</w:t>
      </w:r>
      <w:bookmarkEnd w:id="35"/>
      <w:bookmarkEnd w:id="36"/>
      <w:bookmarkEnd w:id="37"/>
      <w:bookmarkEnd w:id="38"/>
    </w:p>
    <w:p w:rsidR="00072A49" w:rsidRPr="00FB1FE7" w:rsidRDefault="00072A49" w:rsidP="00673F18">
      <w:pPr>
        <w:rPr>
          <w:rFonts w:ascii="Verdana" w:hAnsi="Verdana"/>
          <w:lang w:val="es-ES_tradnl"/>
        </w:rPr>
      </w:pPr>
    </w:p>
    <w:p w:rsidR="00C50BC8" w:rsidRPr="00FB1FE7" w:rsidRDefault="00C20A50" w:rsidP="00673F18">
      <w:pPr>
        <w:pStyle w:val="Heading3"/>
        <w:keepNext w:val="0"/>
        <w:rPr>
          <w:rFonts w:ascii="Verdana" w:hAnsi="Verdana"/>
          <w:lang w:val="es-ES_tradnl"/>
        </w:rPr>
      </w:pPr>
      <w:bookmarkStart w:id="39" w:name="_Toc350504674"/>
      <w:bookmarkStart w:id="40" w:name="_Toc354403046"/>
      <w:bookmarkStart w:id="41" w:name="_Toc354998627"/>
      <w:bookmarkStart w:id="42" w:name="_Toc349810405"/>
      <w:r w:rsidRPr="00FB1FE7">
        <w:rPr>
          <w:rFonts w:ascii="Verdana" w:hAnsi="Verdana"/>
          <w:lang w:val="es-ES_tradnl"/>
        </w:rPr>
        <w:t>El EBB ha comprobado si la legislación de la UE o las normas del sector imponen límites para cada uno de los riesgos descritos</w:t>
      </w:r>
      <w:r w:rsidR="00E54828">
        <w:rPr>
          <w:rFonts w:ascii="Verdana" w:hAnsi="Verdana"/>
          <w:lang w:val="es-ES_tradnl"/>
        </w:rPr>
        <w:t>,</w:t>
      </w:r>
      <w:r w:rsidRPr="00FB1FE7">
        <w:rPr>
          <w:rFonts w:ascii="Verdana" w:hAnsi="Verdana"/>
          <w:lang w:val="es-ES_tradnl"/>
        </w:rPr>
        <w:t xml:space="preserve"> describiéndolos en caso afirmativo.</w:t>
      </w:r>
      <w:bookmarkEnd w:id="39"/>
      <w:bookmarkEnd w:id="40"/>
      <w:bookmarkEnd w:id="41"/>
    </w:p>
    <w:bookmarkEnd w:id="42"/>
    <w:p w:rsidR="002E52C2" w:rsidRPr="00FB1FE7" w:rsidRDefault="002E52C2" w:rsidP="00BE596F">
      <w:pPr>
        <w:rPr>
          <w:rFonts w:ascii="Verdana" w:hAnsi="Verdana"/>
          <w:lang w:val="es-ES_tradnl"/>
        </w:rPr>
      </w:pPr>
    </w:p>
    <w:p w:rsidR="008675C9" w:rsidRPr="00FB1FE7" w:rsidRDefault="008675C9" w:rsidP="00BE596F">
      <w:pPr>
        <w:rPr>
          <w:rFonts w:ascii="Verdana" w:hAnsi="Verdana"/>
          <w:lang w:val="es-ES_tradnl"/>
        </w:rPr>
        <w:sectPr w:rsidR="008675C9" w:rsidRPr="00FB1FE7" w:rsidSect="007D3F9B">
          <w:headerReference w:type="even" r:id="rId20"/>
          <w:headerReference w:type="default" r:id="rId21"/>
          <w:footerReference w:type="even" r:id="rId22"/>
          <w:footerReference w:type="default" r:id="rId23"/>
          <w:headerReference w:type="first" r:id="rId24"/>
          <w:footerReference w:type="first" r:id="rId25"/>
          <w:pgSz w:w="12240" w:h="15840"/>
          <w:pgMar w:top="1361" w:right="1701" w:bottom="1361" w:left="1701" w:header="720" w:footer="720" w:gutter="0"/>
          <w:cols w:space="720"/>
          <w:titlePg/>
          <w:docGrid w:linePitch="360"/>
        </w:sectPr>
      </w:pPr>
    </w:p>
    <w:p w:rsidR="008675C9" w:rsidRPr="00FB1FE7" w:rsidRDefault="008675C9" w:rsidP="00BE596F">
      <w:pPr>
        <w:rPr>
          <w:rFonts w:ascii="Verdana" w:hAnsi="Verdana"/>
          <w:lang w:val="es-ES_tradnl"/>
        </w:rPr>
      </w:pPr>
    </w:p>
    <w:p w:rsidR="008675C9" w:rsidRPr="00FB1FE7" w:rsidRDefault="008675C9" w:rsidP="00BE596F">
      <w:pPr>
        <w:rPr>
          <w:rFonts w:ascii="Verdana" w:hAnsi="Verdana"/>
          <w:lang w:val="es-ES_trad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53"/>
        <w:gridCol w:w="948"/>
        <w:gridCol w:w="1418"/>
        <w:gridCol w:w="992"/>
        <w:gridCol w:w="2126"/>
        <w:gridCol w:w="2127"/>
        <w:gridCol w:w="2693"/>
        <w:gridCol w:w="1843"/>
      </w:tblGrid>
      <w:tr w:rsidR="00C724B8" w:rsidRPr="00F508C9" w:rsidTr="00673F18">
        <w:tc>
          <w:tcPr>
            <w:tcW w:w="4928" w:type="dxa"/>
            <w:gridSpan w:val="4"/>
            <w:tcBorders>
              <w:bottom w:val="single" w:sz="4" w:space="0" w:color="auto"/>
            </w:tcBorders>
            <w:shd w:val="clear" w:color="auto" w:fill="0DA72A"/>
            <w:tcMar>
              <w:top w:w="57" w:type="dxa"/>
              <w:bottom w:w="57" w:type="dxa"/>
            </w:tcMar>
            <w:vAlign w:val="center"/>
          </w:tcPr>
          <w:p w:rsidR="00C724B8" w:rsidRPr="00FB1FE7" w:rsidRDefault="00E80F73" w:rsidP="00673F18">
            <w:pPr>
              <w:pStyle w:val="Heading1"/>
              <w:numPr>
                <w:ilvl w:val="0"/>
                <w:numId w:val="0"/>
              </w:numPr>
              <w:rPr>
                <w:color w:val="FFFFFF" w:themeColor="background1"/>
                <w:sz w:val="32"/>
                <w:lang w:val="es-ES_tradnl"/>
              </w:rPr>
            </w:pPr>
            <w:bookmarkStart w:id="43" w:name="_Toc436281182"/>
            <w:r w:rsidRPr="00FB1FE7">
              <w:rPr>
                <w:color w:val="FFFFFF" w:themeColor="background1"/>
                <w:sz w:val="32"/>
                <w:lang w:val="es-ES_tradnl"/>
              </w:rPr>
              <w:t>8. Enfoque basado en el riesgo aplicado a la glicerina</w:t>
            </w:r>
            <w:bookmarkEnd w:id="43"/>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FB1FE7" w:rsidRDefault="00127622" w:rsidP="00BE596F">
            <w:pPr>
              <w:pStyle w:val="ListParagraph"/>
              <w:numPr>
                <w:ilvl w:val="0"/>
                <w:numId w:val="38"/>
              </w:numPr>
              <w:rPr>
                <w:rFonts w:ascii="Verdana" w:hAnsi="Verdana" w:cs="Tahoma"/>
                <w:b/>
                <w:color w:val="FFFFFF"/>
                <w:sz w:val="28"/>
                <w:szCs w:val="28"/>
                <w:lang w:val="es-ES_tradnl"/>
              </w:rPr>
            </w:pPr>
            <w:r w:rsidRPr="00FB1FE7">
              <w:rPr>
                <w:rFonts w:ascii="Verdana" w:hAnsi="Verdana" w:cs="Tahoma"/>
                <w:b/>
                <w:color w:val="FFFFFF"/>
                <w:sz w:val="28"/>
                <w:szCs w:val="28"/>
                <w:lang w:val="es-ES_tradnl"/>
              </w:rPr>
              <w:t>Riesgo general: Procesamiento del biodiésel</w:t>
            </w:r>
          </w:p>
        </w:tc>
      </w:tr>
      <w:tr w:rsidR="00993467" w:rsidRPr="00FB1FE7" w:rsidTr="000137B0">
        <w:tc>
          <w:tcPr>
            <w:tcW w:w="1809"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753"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948"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418"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126"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2127"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LEGISLACIÓN, NORMAS DE LA INDUSTRIA</w:t>
            </w:r>
            <w:r w:rsidR="00673F18" w:rsidRPr="00FB1FE7">
              <w:rPr>
                <w:rFonts w:ascii="Verdana" w:hAnsi="Verdana" w:cs="Tahoma"/>
                <w:b/>
                <w:bCs/>
                <w:color w:val="FFFFFF"/>
                <w:sz w:val="14"/>
                <w:szCs w:val="14"/>
                <w:lang w:val="es-ES_tradnl"/>
              </w:rPr>
              <w:t xml:space="preserve"> </w:t>
            </w:r>
          </w:p>
        </w:tc>
        <w:tc>
          <w:tcPr>
            <w:tcW w:w="2693"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1843"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993467" w:rsidRPr="00FB1FE7" w:rsidTr="000137B0">
        <w:tc>
          <w:tcPr>
            <w:tcW w:w="1809"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Calidad del agua</w:t>
            </w:r>
          </w:p>
        </w:tc>
        <w:tc>
          <w:tcPr>
            <w:tcW w:w="753"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Q-B-F</w:t>
            </w:r>
          </w:p>
        </w:tc>
        <w:tc>
          <w:tcPr>
            <w:tcW w:w="948"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En la fabricación del biodiésel se utiliza agua.</w:t>
            </w:r>
          </w:p>
        </w:tc>
        <w:tc>
          <w:tcPr>
            <w:tcW w:w="2127" w:type="dxa"/>
            <w:tcBorders>
              <w:top w:val="single" w:sz="4" w:space="0" w:color="auto"/>
              <w:bottom w:val="single" w:sz="4" w:space="0" w:color="auto"/>
            </w:tcBorders>
            <w:tcMar>
              <w:top w:w="85" w:type="dxa"/>
              <w:bottom w:w="85" w:type="dxa"/>
            </w:tcMar>
          </w:tcPr>
          <w:p w:rsidR="00993467" w:rsidRPr="00FB1FE7" w:rsidRDefault="00993467" w:rsidP="000137B0">
            <w:pPr>
              <w:rPr>
                <w:rFonts w:ascii="Verdana" w:hAnsi="Verdana" w:cs="Tahoma"/>
                <w:sz w:val="16"/>
                <w:szCs w:val="16"/>
                <w:lang w:val="es-ES_tradnl"/>
              </w:rPr>
            </w:pPr>
            <w:r w:rsidRPr="00FB1FE7">
              <w:rPr>
                <w:rFonts w:ascii="Verdana" w:hAnsi="Verdana" w:cs="Tahoma"/>
                <w:sz w:val="16"/>
                <w:szCs w:val="16"/>
                <w:lang w:val="es-ES_tradnl"/>
              </w:rPr>
              <w:t>Conforme al Reglamento (CE) nº</w:t>
            </w:r>
            <w:r w:rsidR="000137B0" w:rsidRPr="00FB1FE7">
              <w:rPr>
                <w:rFonts w:ascii="Verdana" w:hAnsi="Verdana" w:cs="Tahoma"/>
                <w:sz w:val="16"/>
                <w:szCs w:val="16"/>
                <w:lang w:val="es-ES_tradnl"/>
              </w:rPr>
              <w:t> </w:t>
            </w:r>
            <w:r w:rsidRPr="00FB1FE7">
              <w:rPr>
                <w:rFonts w:ascii="Verdana" w:hAnsi="Verdana" w:cs="Tahoma"/>
                <w:sz w:val="16"/>
                <w:szCs w:val="16"/>
                <w:lang w:val="es-ES_tradnl"/>
              </w:rPr>
              <w:t>183/2005, el agua utilizada en la fabricación de piensos deberá ser de la calidad adecuada.</w:t>
            </w:r>
          </w:p>
        </w:tc>
        <w:tc>
          <w:tcPr>
            <w:tcW w:w="2693"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iCs/>
                <w:sz w:val="16"/>
                <w:szCs w:val="16"/>
                <w:lang w:val="es-ES_tradnl"/>
              </w:rPr>
            </w:pPr>
            <w:r w:rsidRPr="00FB1FE7">
              <w:rPr>
                <w:rFonts w:ascii="Verdana" w:hAnsi="Verdana" w:cs="Tahoma"/>
                <w:iCs/>
                <w:sz w:val="16"/>
                <w:szCs w:val="16"/>
                <w:lang w:val="es-ES_tradnl"/>
              </w:rPr>
              <w:t>Utilizar agua potable de la calidad adecuada.</w:t>
            </w:r>
          </w:p>
          <w:p w:rsidR="00993467" w:rsidRPr="00FB1FE7" w:rsidRDefault="00993467" w:rsidP="00BE596F">
            <w:pPr>
              <w:rPr>
                <w:rFonts w:ascii="Verdana" w:hAnsi="Verdana" w:cs="Tahoma"/>
                <w:iCs/>
                <w:sz w:val="16"/>
                <w:szCs w:val="16"/>
                <w:lang w:val="es-ES_tradnl"/>
              </w:rPr>
            </w:pPr>
          </w:p>
          <w:p w:rsidR="00993467" w:rsidRPr="00FB1FE7" w:rsidRDefault="00993467" w:rsidP="00BE596F">
            <w:pPr>
              <w:rPr>
                <w:rFonts w:ascii="Verdana" w:hAnsi="Verdana" w:cs="Tahoma"/>
                <w:iCs/>
                <w:sz w:val="16"/>
                <w:szCs w:val="16"/>
                <w:lang w:val="es-ES_tradnl"/>
              </w:rPr>
            </w:pPr>
            <w:r w:rsidRPr="00FB1FE7">
              <w:rPr>
                <w:rFonts w:ascii="Verdana" w:hAnsi="Verdana" w:cs="Tahoma"/>
                <w:iCs/>
                <w:sz w:val="16"/>
                <w:szCs w:val="16"/>
                <w:lang w:val="es-ES_tradnl"/>
              </w:rPr>
              <w:t>Circuitos de agua separados.</w:t>
            </w:r>
          </w:p>
        </w:tc>
        <w:tc>
          <w:tcPr>
            <w:tcW w:w="1843"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Arial Narrow"/>
                <w:sz w:val="16"/>
                <w:szCs w:val="16"/>
                <w:lang w:val="es-ES_tradnl"/>
              </w:rPr>
            </w:pPr>
          </w:p>
        </w:tc>
      </w:tr>
      <w:tr w:rsidR="00993467" w:rsidRPr="00F508C9" w:rsidTr="000137B0">
        <w:tc>
          <w:tcPr>
            <w:tcW w:w="1809"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p>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Productos de limpieza </w:t>
            </w:r>
          </w:p>
        </w:tc>
        <w:tc>
          <w:tcPr>
            <w:tcW w:w="753"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p>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4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p>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p>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p>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Los productos de limpieza entran en contacto con el producto.</w:t>
            </w:r>
          </w:p>
        </w:tc>
        <w:tc>
          <w:tcPr>
            <w:tcW w:w="2127"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2693"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 xml:space="preserve">Los productos de limpieza empleados en el sistema de producción deberán enjuagarse. Los productos de limpieza utilizados deberán evaluarse, adoptando las medidas apropiadas para reducir el riesgo hasta un nivel aceptable. </w:t>
            </w:r>
          </w:p>
        </w:tc>
        <w:tc>
          <w:tcPr>
            <w:tcW w:w="1843"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Arial Narrow"/>
                <w:sz w:val="16"/>
                <w:szCs w:val="16"/>
                <w:lang w:val="es-ES_tradnl"/>
              </w:rPr>
            </w:pPr>
          </w:p>
          <w:p w:rsidR="004B2FB4" w:rsidRPr="00FB1FE7" w:rsidRDefault="004B2FB4" w:rsidP="00BE596F">
            <w:pPr>
              <w:rPr>
                <w:rFonts w:ascii="Verdana" w:hAnsi="Verdana" w:cs="Arial Narrow"/>
                <w:sz w:val="16"/>
                <w:szCs w:val="16"/>
                <w:lang w:val="es-ES_tradnl"/>
              </w:rPr>
            </w:pPr>
            <w:r w:rsidRPr="00FB1FE7">
              <w:rPr>
                <w:rFonts w:ascii="Verdana" w:hAnsi="Verdana" w:cs="Arial Narrow"/>
                <w:sz w:val="16"/>
                <w:szCs w:val="16"/>
                <w:lang w:val="es-ES_tradnl"/>
              </w:rPr>
              <w:t>No es un riesgo frecuente, dado que la mayoría de las instalaciones de fabricación funcionan en régimen continuo.</w:t>
            </w:r>
          </w:p>
        </w:tc>
      </w:tr>
      <w:tr w:rsidR="00993467" w:rsidRPr="00F508C9" w:rsidTr="000137B0">
        <w:tc>
          <w:tcPr>
            <w:tcW w:w="1809"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Entrada de aves</w:t>
            </w:r>
          </w:p>
        </w:tc>
        <w:tc>
          <w:tcPr>
            <w:tcW w:w="753"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B</w:t>
            </w:r>
          </w:p>
        </w:tc>
        <w:tc>
          <w:tcPr>
            <w:tcW w:w="948" w:type="dxa"/>
            <w:tcBorders>
              <w:top w:val="single" w:sz="4" w:space="0" w:color="auto"/>
              <w:bottom w:val="single" w:sz="4" w:space="0" w:color="auto"/>
            </w:tcBorders>
            <w:tcMar>
              <w:top w:w="85" w:type="dxa"/>
              <w:bottom w:w="85" w:type="dxa"/>
            </w:tcMar>
          </w:tcPr>
          <w:p w:rsidR="00993467" w:rsidRPr="00FB1FE7" w:rsidRDefault="004A2A8A"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top w:val="single" w:sz="4" w:space="0" w:color="auto"/>
              <w:bottom w:val="single" w:sz="4" w:space="0" w:color="auto"/>
            </w:tcBorders>
            <w:shd w:val="clear" w:color="auto" w:fill="auto"/>
            <w:tcMar>
              <w:top w:w="85" w:type="dxa"/>
              <w:bottom w:w="85" w:type="dxa"/>
            </w:tcMar>
          </w:tcPr>
          <w:p w:rsidR="00993467" w:rsidRPr="00FB1FE7" w:rsidRDefault="004A2A8A"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2127"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2693"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1843" w:type="dxa"/>
            <w:tcBorders>
              <w:top w:val="single" w:sz="4" w:space="0" w:color="auto"/>
              <w:bottom w:val="single" w:sz="4" w:space="0" w:color="auto"/>
            </w:tcBorders>
            <w:tcMar>
              <w:top w:w="85" w:type="dxa"/>
              <w:bottom w:w="85" w:type="dxa"/>
            </w:tcMar>
          </w:tcPr>
          <w:p w:rsidR="00993467" w:rsidRPr="00FB1FE7" w:rsidRDefault="004A2A8A" w:rsidP="00BE596F">
            <w:pPr>
              <w:rPr>
                <w:rFonts w:ascii="Verdana" w:hAnsi="Verdana" w:cs="Arial Narrow"/>
                <w:sz w:val="16"/>
                <w:szCs w:val="16"/>
                <w:lang w:val="es-ES_tradnl"/>
              </w:rPr>
            </w:pPr>
            <w:r w:rsidRPr="00FB1FE7">
              <w:rPr>
                <w:rFonts w:ascii="Verdana" w:hAnsi="Verdana" w:cs="Arial Narrow"/>
                <w:sz w:val="16"/>
                <w:szCs w:val="16"/>
                <w:lang w:val="es-ES_tradnl"/>
              </w:rPr>
              <w:t>Este riesgo se puede contrarrestar mediante el cerramiento de los locales.</w:t>
            </w:r>
          </w:p>
        </w:tc>
      </w:tr>
      <w:tr w:rsidR="00993467" w:rsidRPr="00F508C9" w:rsidTr="000137B0">
        <w:tc>
          <w:tcPr>
            <w:tcW w:w="1809"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4C1DB8">
            <w:pPr>
              <w:rPr>
                <w:rFonts w:ascii="Verdana" w:hAnsi="Verdana" w:cs="Tahoma"/>
                <w:b/>
                <w:bCs/>
                <w:sz w:val="16"/>
                <w:szCs w:val="16"/>
                <w:lang w:val="es-ES_tradnl"/>
              </w:rPr>
            </w:pPr>
            <w:r w:rsidRPr="00FB1FE7">
              <w:rPr>
                <w:rFonts w:ascii="Verdana" w:hAnsi="Verdana" w:cs="Tahoma"/>
                <w:b/>
                <w:bCs/>
                <w:sz w:val="16"/>
                <w:szCs w:val="16"/>
                <w:lang w:val="es-ES_tradnl"/>
              </w:rPr>
              <w:t xml:space="preserve">Toxinas procedentes de los productos </w:t>
            </w:r>
            <w:r w:rsidR="004C1DB8" w:rsidRPr="00841F1C">
              <w:rPr>
                <w:rFonts w:ascii="Verdana" w:hAnsi="Verdana" w:cs="Tahoma"/>
                <w:b/>
                <w:bCs/>
                <w:sz w:val="16"/>
                <w:szCs w:val="16"/>
                <w:lang w:val="es-ES_tradnl"/>
              </w:rPr>
              <w:t>para el control de plagas</w:t>
            </w:r>
          </w:p>
        </w:tc>
        <w:tc>
          <w:tcPr>
            <w:tcW w:w="75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p w:rsidR="00993467" w:rsidRPr="00FB1FE7" w:rsidRDefault="00993467" w:rsidP="00BE596F">
            <w:pPr>
              <w:rPr>
                <w:rFonts w:ascii="Verdana" w:hAnsi="Verdana" w:cs="Tahoma"/>
                <w:sz w:val="16"/>
                <w:szCs w:val="16"/>
                <w:lang w:val="es-ES_tradnl"/>
              </w:rPr>
            </w:pPr>
          </w:p>
        </w:tc>
        <w:tc>
          <w:tcPr>
            <w:tcW w:w="94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Muy baja</w:t>
            </w:r>
          </w:p>
          <w:p w:rsidR="00993467" w:rsidRPr="00FB1FE7" w:rsidRDefault="00993467" w:rsidP="00BE596F">
            <w:pPr>
              <w:rPr>
                <w:rFonts w:ascii="Verdana" w:hAnsi="Verdana" w:cs="Tahoma"/>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p w:rsidR="00993467" w:rsidRPr="00FB1FE7" w:rsidRDefault="00993467" w:rsidP="00BE596F">
            <w:pPr>
              <w:rPr>
                <w:rFonts w:ascii="Verdana" w:hAnsi="Verdana" w:cs="Tahoma"/>
                <w:sz w:val="16"/>
                <w:szCs w:val="16"/>
                <w:lang w:val="es-ES_tradnl"/>
              </w:rPr>
            </w:pPr>
          </w:p>
        </w:tc>
        <w:tc>
          <w:tcPr>
            <w:tcW w:w="992"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p w:rsidR="00993467" w:rsidRPr="00FB1FE7" w:rsidRDefault="00993467" w:rsidP="00BE596F">
            <w:pPr>
              <w:jc w:val="center"/>
              <w:rPr>
                <w:rFonts w:ascii="Verdana" w:hAnsi="Verdana" w:cs="Tahoma"/>
                <w:sz w:val="16"/>
                <w:szCs w:val="16"/>
                <w:lang w:val="es-ES_tradnl"/>
              </w:rPr>
            </w:pPr>
          </w:p>
          <w:p w:rsidR="00993467" w:rsidRPr="00FB1FE7" w:rsidRDefault="00993467" w:rsidP="00BE596F">
            <w:pPr>
              <w:rPr>
                <w:rFonts w:ascii="Verdana" w:hAnsi="Verdana" w:cs="Tahoma"/>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Los cebos envenenados en las cajas abiertas pueden dar lugar a contaminación cruzada.</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BE596F">
            <w:pPr>
              <w:rPr>
                <w:rFonts w:ascii="Verdana" w:hAnsi="Verdana" w:cs="Tahoma"/>
                <w:i/>
                <w:iCs/>
                <w:color w:val="0000FF"/>
                <w:sz w:val="16"/>
                <w:szCs w:val="16"/>
                <w:lang w:val="es-ES_tradnl"/>
              </w:rPr>
            </w:pPr>
          </w:p>
        </w:tc>
        <w:tc>
          <w:tcPr>
            <w:tcW w:w="269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 xml:space="preserve">Deberá aplicarse un programa de control de plagas. Deberán adoptarse las medidas adecuadas para minimizar el riesgo. </w:t>
            </w:r>
          </w:p>
        </w:tc>
        <w:tc>
          <w:tcPr>
            <w:tcW w:w="184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FB1FE7" w:rsidRDefault="00993467" w:rsidP="00BE596F">
            <w:pPr>
              <w:rPr>
                <w:rFonts w:ascii="Verdana" w:hAnsi="Verdana" w:cs="Arial Narrow"/>
                <w:sz w:val="16"/>
                <w:szCs w:val="16"/>
                <w:lang w:val="es-ES_tradnl"/>
              </w:rPr>
            </w:pPr>
          </w:p>
          <w:p w:rsidR="00993467" w:rsidRPr="00FB1FE7" w:rsidRDefault="00993467" w:rsidP="00BE596F">
            <w:pPr>
              <w:rPr>
                <w:rFonts w:ascii="Verdana" w:hAnsi="Verdana" w:cs="Arial Narrow"/>
                <w:sz w:val="16"/>
                <w:szCs w:val="16"/>
                <w:lang w:val="es-ES_tradnl"/>
              </w:rPr>
            </w:pPr>
          </w:p>
        </w:tc>
      </w:tr>
      <w:tr w:rsidR="00DC50EA" w:rsidRPr="00F508C9" w:rsidTr="000137B0">
        <w:tc>
          <w:tcPr>
            <w:tcW w:w="1809" w:type="dxa"/>
            <w:tcBorders>
              <w:top w:val="single" w:sz="4" w:space="0" w:color="auto"/>
              <w:bottom w:val="single" w:sz="4" w:space="0" w:color="auto"/>
            </w:tcBorders>
            <w:shd w:val="clear" w:color="auto" w:fill="auto"/>
            <w:tcMar>
              <w:top w:w="85" w:type="dxa"/>
              <w:bottom w:w="85" w:type="dxa"/>
            </w:tcMar>
          </w:tcPr>
          <w:p w:rsidR="00DC50EA" w:rsidRPr="00FB1FE7" w:rsidRDefault="00DC50EA" w:rsidP="00BE596F">
            <w:pPr>
              <w:rPr>
                <w:rFonts w:ascii="Verdana" w:hAnsi="Verdana" w:cs="Tahoma"/>
                <w:b/>
                <w:bCs/>
                <w:sz w:val="16"/>
                <w:szCs w:val="16"/>
                <w:lang w:val="es-ES_tradnl"/>
              </w:rPr>
            </w:pPr>
            <w:r w:rsidRPr="00FB1FE7">
              <w:rPr>
                <w:rFonts w:ascii="Verdana" w:hAnsi="Verdana" w:cs="Tahoma"/>
                <w:b/>
                <w:bCs/>
                <w:sz w:val="16"/>
                <w:szCs w:val="16"/>
                <w:lang w:val="es-ES_tradnl"/>
              </w:rPr>
              <w:t>Lubricantes</w:t>
            </w:r>
          </w:p>
          <w:p w:rsidR="00DC50EA" w:rsidRPr="00FB1FE7" w:rsidRDefault="00DC50EA" w:rsidP="00BE596F">
            <w:pPr>
              <w:rPr>
                <w:rFonts w:ascii="Verdana" w:hAnsi="Verdana" w:cs="Tahoma"/>
                <w:b/>
                <w:bCs/>
                <w:sz w:val="16"/>
                <w:szCs w:val="16"/>
                <w:lang w:val="es-ES_tradnl"/>
              </w:rPr>
            </w:pPr>
          </w:p>
        </w:tc>
        <w:tc>
          <w:tcPr>
            <w:tcW w:w="753" w:type="dxa"/>
            <w:tcBorders>
              <w:top w:val="single" w:sz="4" w:space="0" w:color="auto"/>
              <w:bottom w:val="single" w:sz="4" w:space="0" w:color="auto"/>
            </w:tcBorders>
            <w:shd w:val="clear" w:color="auto" w:fill="auto"/>
            <w:tcMar>
              <w:top w:w="85" w:type="dxa"/>
              <w:bottom w:w="85" w:type="dxa"/>
            </w:tcMar>
          </w:tcPr>
          <w:p w:rsidR="00DC50EA"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48" w:type="dxa"/>
            <w:tcBorders>
              <w:top w:val="single" w:sz="4" w:space="0" w:color="auto"/>
              <w:bottom w:val="single" w:sz="4" w:space="0" w:color="auto"/>
            </w:tcBorders>
            <w:shd w:val="clear" w:color="auto" w:fill="auto"/>
            <w:tcMar>
              <w:top w:w="85" w:type="dxa"/>
              <w:bottom w:w="85" w:type="dxa"/>
            </w:tcMar>
          </w:tcPr>
          <w:p w:rsidR="00DC50EA" w:rsidRPr="00FB1FE7" w:rsidRDefault="00DC50EA"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shd w:val="clear" w:color="auto" w:fill="auto"/>
            <w:tcMar>
              <w:top w:w="85" w:type="dxa"/>
              <w:bottom w:w="85" w:type="dxa"/>
            </w:tcMar>
          </w:tcPr>
          <w:p w:rsidR="00DC50EA" w:rsidRPr="00FB1FE7" w:rsidRDefault="004A2A8A"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Alta</w:t>
            </w:r>
          </w:p>
        </w:tc>
        <w:tc>
          <w:tcPr>
            <w:tcW w:w="992" w:type="dxa"/>
            <w:tcBorders>
              <w:top w:val="single" w:sz="4" w:space="0" w:color="auto"/>
              <w:bottom w:val="single" w:sz="4" w:space="0" w:color="auto"/>
            </w:tcBorders>
            <w:shd w:val="clear" w:color="auto" w:fill="FFC000"/>
            <w:tcMar>
              <w:top w:w="85" w:type="dxa"/>
              <w:bottom w:w="85" w:type="dxa"/>
            </w:tcMar>
          </w:tcPr>
          <w:p w:rsidR="00DC50EA" w:rsidRPr="00FB1FE7" w:rsidRDefault="00494D0C"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shd w:val="clear" w:color="auto" w:fill="auto"/>
            <w:tcMar>
              <w:top w:w="85" w:type="dxa"/>
              <w:bottom w:w="85" w:type="dxa"/>
            </w:tcMar>
          </w:tcPr>
          <w:p w:rsidR="00DC50EA" w:rsidRPr="00FB1FE7" w:rsidRDefault="00DC50EA" w:rsidP="00BE596F">
            <w:pPr>
              <w:rPr>
                <w:rFonts w:ascii="Verdana" w:hAnsi="Verdana" w:cs="Tahoma"/>
                <w:sz w:val="16"/>
                <w:szCs w:val="16"/>
                <w:lang w:val="es-ES_tradnl"/>
              </w:rPr>
            </w:pPr>
          </w:p>
        </w:tc>
        <w:tc>
          <w:tcPr>
            <w:tcW w:w="2127" w:type="dxa"/>
            <w:tcBorders>
              <w:top w:val="single" w:sz="4" w:space="0" w:color="auto"/>
              <w:bottom w:val="single" w:sz="4" w:space="0" w:color="auto"/>
            </w:tcBorders>
            <w:shd w:val="clear" w:color="auto" w:fill="auto"/>
            <w:tcMar>
              <w:top w:w="85" w:type="dxa"/>
              <w:bottom w:w="85" w:type="dxa"/>
            </w:tcMar>
          </w:tcPr>
          <w:p w:rsidR="00DC50EA" w:rsidRPr="00FB1FE7" w:rsidRDefault="00DC50EA" w:rsidP="00BE596F">
            <w:pPr>
              <w:rPr>
                <w:rFonts w:ascii="Verdana" w:hAnsi="Verdana" w:cs="Tahoma"/>
                <w:i/>
                <w:iCs/>
                <w:color w:val="0000FF"/>
                <w:sz w:val="16"/>
                <w:szCs w:val="16"/>
                <w:lang w:val="es-ES_tradnl"/>
              </w:rPr>
            </w:pPr>
          </w:p>
        </w:tc>
        <w:tc>
          <w:tcPr>
            <w:tcW w:w="2693" w:type="dxa"/>
            <w:tcBorders>
              <w:top w:val="single" w:sz="4" w:space="0" w:color="auto"/>
              <w:bottom w:val="single" w:sz="4" w:space="0" w:color="auto"/>
            </w:tcBorders>
            <w:shd w:val="clear" w:color="auto" w:fill="auto"/>
            <w:tcMar>
              <w:top w:w="85" w:type="dxa"/>
              <w:bottom w:w="85" w:type="dxa"/>
            </w:tcMar>
          </w:tcPr>
          <w:p w:rsidR="00DC50EA" w:rsidRPr="00FB1FE7" w:rsidRDefault="00DC50EA" w:rsidP="00BE596F">
            <w:pPr>
              <w:rPr>
                <w:rFonts w:ascii="Verdana" w:hAnsi="Verdana" w:cs="Tahoma"/>
                <w:sz w:val="16"/>
                <w:szCs w:val="16"/>
                <w:lang w:val="es-ES_tradnl"/>
              </w:rPr>
            </w:pPr>
            <w:r w:rsidRPr="00FB1FE7">
              <w:rPr>
                <w:rFonts w:ascii="Verdana" w:hAnsi="Verdana" w:cs="Tahoma"/>
                <w:sz w:val="16"/>
                <w:szCs w:val="16"/>
                <w:lang w:val="es-ES_tradnl"/>
              </w:rPr>
              <w:t>Deberá evaluarse la utilización del lubricante antes de su aplicación, adoptando las medidas apropiadas para reducir el riesgo hasta un nivel aceptable.</w:t>
            </w:r>
          </w:p>
        </w:tc>
        <w:tc>
          <w:tcPr>
            <w:tcW w:w="1843" w:type="dxa"/>
            <w:tcBorders>
              <w:top w:val="single" w:sz="4" w:space="0" w:color="auto"/>
              <w:bottom w:val="single" w:sz="4" w:space="0" w:color="auto"/>
            </w:tcBorders>
            <w:shd w:val="clear" w:color="auto" w:fill="auto"/>
            <w:tcMar>
              <w:top w:w="85" w:type="dxa"/>
              <w:bottom w:w="85" w:type="dxa"/>
            </w:tcMar>
          </w:tcPr>
          <w:p w:rsidR="00DC50EA" w:rsidRPr="00FB1FE7" w:rsidRDefault="00DC50EA" w:rsidP="00BE596F">
            <w:pPr>
              <w:rPr>
                <w:rFonts w:ascii="Verdana" w:hAnsi="Verdana" w:cs="Arial Narrow"/>
                <w:sz w:val="16"/>
                <w:szCs w:val="16"/>
                <w:lang w:val="es-ES_tradnl"/>
              </w:rPr>
            </w:pPr>
            <w:r w:rsidRPr="00FB1FE7">
              <w:rPr>
                <w:rFonts w:ascii="Verdana" w:hAnsi="Verdana" w:cs="Arial Narrow"/>
                <w:sz w:val="16"/>
                <w:szCs w:val="16"/>
                <w:lang w:val="es-ES_tradnl"/>
              </w:rPr>
              <w:t>Especificaciones de los pedidos. El riesgo es bajo, dado que los aceites lubricantes se controlan antes de usarlos.</w:t>
            </w:r>
          </w:p>
        </w:tc>
      </w:tr>
      <w:tr w:rsidR="00993467" w:rsidRPr="00F508C9" w:rsidTr="000137B0">
        <w:tc>
          <w:tcPr>
            <w:tcW w:w="1809"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Insectos y </w:t>
            </w:r>
            <w:r w:rsidRPr="00FB1FE7">
              <w:rPr>
                <w:rFonts w:ascii="Verdana" w:hAnsi="Verdana" w:cs="Tahoma"/>
                <w:b/>
                <w:bCs/>
                <w:sz w:val="16"/>
                <w:szCs w:val="16"/>
                <w:lang w:val="es-ES_tradnl"/>
              </w:rPr>
              <w:lastRenderedPageBreak/>
              <w:t>roedores</w:t>
            </w:r>
          </w:p>
        </w:tc>
        <w:tc>
          <w:tcPr>
            <w:tcW w:w="753"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lastRenderedPageBreak/>
              <w:t>B</w:t>
            </w:r>
          </w:p>
        </w:tc>
        <w:tc>
          <w:tcPr>
            <w:tcW w:w="948"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1418"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992"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rPr>
                <w:rFonts w:ascii="Verdana" w:hAnsi="Verdana" w:cs="Tahoma"/>
                <w:sz w:val="16"/>
                <w:szCs w:val="16"/>
                <w:lang w:val="es-ES_tradnl"/>
              </w:rPr>
            </w:pPr>
          </w:p>
        </w:tc>
        <w:tc>
          <w:tcPr>
            <w:tcW w:w="2127"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rPr>
                <w:rFonts w:ascii="Verdana" w:hAnsi="Verdana" w:cs="Tahoma"/>
                <w:i/>
                <w:iCs/>
                <w:color w:val="0000FF"/>
                <w:sz w:val="16"/>
                <w:szCs w:val="16"/>
                <w:lang w:val="es-ES_tradnl"/>
              </w:rPr>
            </w:pPr>
          </w:p>
        </w:tc>
        <w:tc>
          <w:tcPr>
            <w:tcW w:w="2693"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 xml:space="preserve">Aislamiento del edificio, </w:t>
            </w:r>
            <w:r w:rsidRPr="00FB1FE7">
              <w:rPr>
                <w:rFonts w:ascii="Verdana" w:hAnsi="Verdana" w:cs="Tahoma"/>
                <w:sz w:val="16"/>
                <w:szCs w:val="16"/>
                <w:lang w:val="es-ES_tradnl"/>
              </w:rPr>
              <w:lastRenderedPageBreak/>
              <w:t>programas de limpieza y de control de plagas como parte de</w:t>
            </w:r>
            <w:r w:rsidR="004C1DB8" w:rsidRPr="00FB1FE7">
              <w:rPr>
                <w:rFonts w:ascii="Verdana" w:hAnsi="Verdana" w:cs="Tahoma"/>
                <w:sz w:val="16"/>
                <w:szCs w:val="16"/>
                <w:lang w:val="es-ES_tradnl"/>
              </w:rPr>
              <w:t>l</w:t>
            </w:r>
            <w:r w:rsidRPr="00FB1FE7">
              <w:rPr>
                <w:rFonts w:ascii="Verdana" w:hAnsi="Verdana" w:cs="Tahoma"/>
                <w:sz w:val="16"/>
                <w:szCs w:val="16"/>
                <w:lang w:val="es-ES_tradnl"/>
              </w:rPr>
              <w:t xml:space="preserve"> </w:t>
            </w:r>
            <w:r w:rsidR="004C1DB8" w:rsidRPr="00841F1C">
              <w:rPr>
                <w:rFonts w:ascii="Verdana" w:hAnsi="Verdana" w:cs="Tahoma"/>
                <w:sz w:val="16"/>
                <w:szCs w:val="16"/>
                <w:lang w:val="es-ES_tradnl"/>
              </w:rPr>
              <w:t>PRP</w:t>
            </w:r>
            <w:r w:rsidRPr="00841F1C">
              <w:rPr>
                <w:rFonts w:ascii="Verdana" w:hAnsi="Verdana" w:cs="Tahoma"/>
                <w:sz w:val="16"/>
                <w:szCs w:val="16"/>
                <w:lang w:val="es-ES_tradnl"/>
              </w:rPr>
              <w:t>.</w:t>
            </w:r>
          </w:p>
        </w:tc>
        <w:tc>
          <w:tcPr>
            <w:tcW w:w="1843" w:type="dxa"/>
            <w:tcBorders>
              <w:top w:val="single" w:sz="4" w:space="0" w:color="auto"/>
              <w:bottom w:val="single" w:sz="4" w:space="0" w:color="auto"/>
            </w:tcBorders>
            <w:shd w:val="clear" w:color="auto" w:fill="auto"/>
            <w:tcMar>
              <w:top w:w="85" w:type="dxa"/>
              <w:bottom w:w="85" w:type="dxa"/>
            </w:tcMar>
          </w:tcPr>
          <w:p w:rsidR="00993467" w:rsidRPr="00FB1FE7" w:rsidRDefault="00993467" w:rsidP="00BE596F">
            <w:pPr>
              <w:rPr>
                <w:rFonts w:ascii="Verdana" w:hAnsi="Verdana" w:cs="Arial Narrow"/>
                <w:sz w:val="16"/>
                <w:szCs w:val="16"/>
                <w:lang w:val="es-ES_tradnl"/>
              </w:rPr>
            </w:pPr>
          </w:p>
        </w:tc>
      </w:tr>
      <w:tr w:rsidR="00BA26DA" w:rsidRPr="00F508C9" w:rsidTr="000137B0">
        <w:tc>
          <w:tcPr>
            <w:tcW w:w="1809" w:type="dxa"/>
            <w:tcBorders>
              <w:top w:val="single" w:sz="4" w:space="0" w:color="auto"/>
              <w:bottom w:val="single" w:sz="4" w:space="0" w:color="auto"/>
            </w:tcBorders>
            <w:shd w:val="clear" w:color="auto" w:fill="auto"/>
            <w:tcMar>
              <w:top w:w="85" w:type="dxa"/>
              <w:bottom w:w="85" w:type="dxa"/>
            </w:tcMar>
          </w:tcPr>
          <w:p w:rsidR="00BA26DA" w:rsidRPr="00FB1FE7" w:rsidRDefault="00A31C4F" w:rsidP="00BE596F">
            <w:pPr>
              <w:rPr>
                <w:rFonts w:ascii="Verdana" w:hAnsi="Verdana" w:cs="Tahoma"/>
                <w:b/>
                <w:bCs/>
                <w:sz w:val="16"/>
                <w:szCs w:val="16"/>
                <w:lang w:val="es-ES_tradnl"/>
              </w:rPr>
            </w:pPr>
            <w:r w:rsidRPr="00FB1FE7">
              <w:rPr>
                <w:rFonts w:ascii="Verdana" w:hAnsi="Verdana" w:cs="Tahoma"/>
                <w:b/>
                <w:bCs/>
                <w:sz w:val="16"/>
                <w:szCs w:val="16"/>
                <w:lang w:val="es-ES_tradnl"/>
              </w:rPr>
              <w:lastRenderedPageBreak/>
              <w:t>Contaminación cruzada causada por los productos manipulados previamente</w:t>
            </w:r>
          </w:p>
        </w:tc>
        <w:tc>
          <w:tcPr>
            <w:tcW w:w="753" w:type="dxa"/>
            <w:tcBorders>
              <w:top w:val="single" w:sz="4" w:space="0" w:color="auto"/>
              <w:bottom w:val="single" w:sz="4" w:space="0" w:color="auto"/>
            </w:tcBorders>
            <w:shd w:val="clear" w:color="auto" w:fill="auto"/>
            <w:tcMar>
              <w:top w:w="85" w:type="dxa"/>
              <w:bottom w:w="85" w:type="dxa"/>
            </w:tcMar>
          </w:tcPr>
          <w:p w:rsidR="00BA26DA" w:rsidRPr="00FB1FE7" w:rsidRDefault="00493677" w:rsidP="00BE596F">
            <w:pPr>
              <w:jc w:val="center"/>
              <w:rPr>
                <w:rFonts w:ascii="Verdana" w:hAnsi="Verdana" w:cs="Tahoma"/>
                <w:sz w:val="16"/>
                <w:szCs w:val="16"/>
                <w:lang w:val="es-ES_tradnl"/>
              </w:rPr>
            </w:pPr>
            <w:r w:rsidRPr="00FB1FE7">
              <w:rPr>
                <w:rFonts w:ascii="Verdana" w:hAnsi="Verdana" w:cs="Tahoma"/>
                <w:sz w:val="16"/>
                <w:szCs w:val="16"/>
                <w:lang w:val="es-ES_tradnl"/>
              </w:rPr>
              <w:t>Q-B-F</w:t>
            </w:r>
          </w:p>
        </w:tc>
        <w:tc>
          <w:tcPr>
            <w:tcW w:w="948" w:type="dxa"/>
            <w:tcBorders>
              <w:top w:val="single" w:sz="4" w:space="0" w:color="auto"/>
              <w:bottom w:val="single" w:sz="4" w:space="0" w:color="auto"/>
            </w:tcBorders>
            <w:shd w:val="clear" w:color="auto" w:fill="auto"/>
            <w:tcMar>
              <w:top w:w="85" w:type="dxa"/>
              <w:bottom w:w="85" w:type="dxa"/>
            </w:tcMar>
          </w:tcPr>
          <w:p w:rsidR="00BA26DA" w:rsidRPr="00FB1FE7" w:rsidRDefault="00493677"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shd w:val="clear" w:color="auto" w:fill="auto"/>
            <w:tcMar>
              <w:top w:w="85" w:type="dxa"/>
              <w:bottom w:w="85" w:type="dxa"/>
            </w:tcMar>
          </w:tcPr>
          <w:p w:rsidR="00BA26DA" w:rsidRPr="00FB1FE7" w:rsidRDefault="00493677"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auto"/>
            <w:tcMar>
              <w:top w:w="85" w:type="dxa"/>
              <w:bottom w:w="85" w:type="dxa"/>
            </w:tcMar>
          </w:tcPr>
          <w:p w:rsidR="00BA26DA" w:rsidRPr="00FB1FE7" w:rsidRDefault="0049367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shd w:val="clear" w:color="auto" w:fill="auto"/>
            <w:tcMar>
              <w:top w:w="85" w:type="dxa"/>
              <w:bottom w:w="85" w:type="dxa"/>
            </w:tcMar>
          </w:tcPr>
          <w:p w:rsidR="00BA26DA" w:rsidRPr="00FB1FE7" w:rsidRDefault="00CF1843" w:rsidP="004C1DB8">
            <w:pPr>
              <w:rPr>
                <w:rFonts w:ascii="Verdana" w:hAnsi="Verdana" w:cs="Tahoma"/>
                <w:sz w:val="16"/>
                <w:szCs w:val="16"/>
                <w:lang w:val="es-ES_tradnl"/>
              </w:rPr>
            </w:pPr>
            <w:r w:rsidRPr="00FB1FE7">
              <w:rPr>
                <w:rFonts w:ascii="Verdana" w:hAnsi="Verdana" w:cs="Tahoma"/>
                <w:sz w:val="16"/>
                <w:szCs w:val="16"/>
                <w:lang w:val="es-ES_tradnl"/>
              </w:rPr>
              <w:t xml:space="preserve">La contaminación cruzada será baja cuando el operador pueda demostrar que ha implementado procedimientos eficaces de enjuagado </w:t>
            </w:r>
            <w:r w:rsidR="004C1DB8" w:rsidRPr="00FB1FE7">
              <w:rPr>
                <w:rFonts w:ascii="Verdana" w:hAnsi="Verdana" w:cs="Tahoma"/>
                <w:sz w:val="16"/>
                <w:szCs w:val="16"/>
                <w:lang w:val="es-ES_tradnl"/>
              </w:rPr>
              <w:t xml:space="preserve">y </w:t>
            </w:r>
            <w:r w:rsidRPr="00FB1FE7">
              <w:rPr>
                <w:rFonts w:ascii="Verdana" w:hAnsi="Verdana" w:cs="Tahoma"/>
                <w:sz w:val="16"/>
                <w:szCs w:val="16"/>
                <w:lang w:val="es-ES_tradnl"/>
              </w:rPr>
              <w:t xml:space="preserve">limpieza. </w:t>
            </w:r>
          </w:p>
        </w:tc>
        <w:tc>
          <w:tcPr>
            <w:tcW w:w="2127" w:type="dxa"/>
            <w:tcBorders>
              <w:top w:val="single" w:sz="4" w:space="0" w:color="auto"/>
              <w:bottom w:val="single" w:sz="4" w:space="0" w:color="auto"/>
            </w:tcBorders>
            <w:shd w:val="clear" w:color="auto" w:fill="auto"/>
            <w:tcMar>
              <w:top w:w="85" w:type="dxa"/>
              <w:bottom w:w="85" w:type="dxa"/>
            </w:tcMar>
          </w:tcPr>
          <w:p w:rsidR="00BA26DA" w:rsidRPr="00FB1FE7" w:rsidRDefault="00BA26DA" w:rsidP="00BE596F">
            <w:pPr>
              <w:rPr>
                <w:rFonts w:ascii="Verdana" w:hAnsi="Verdana" w:cs="Tahoma"/>
                <w:i/>
                <w:iCs/>
                <w:color w:val="0000FF"/>
                <w:sz w:val="16"/>
                <w:szCs w:val="16"/>
                <w:lang w:val="es-ES_tradnl"/>
              </w:rPr>
            </w:pPr>
          </w:p>
        </w:tc>
        <w:tc>
          <w:tcPr>
            <w:tcW w:w="2693" w:type="dxa"/>
            <w:tcBorders>
              <w:top w:val="single" w:sz="4" w:space="0" w:color="auto"/>
              <w:bottom w:val="single" w:sz="4" w:space="0" w:color="auto"/>
            </w:tcBorders>
            <w:shd w:val="clear" w:color="auto" w:fill="auto"/>
            <w:tcMar>
              <w:top w:w="85" w:type="dxa"/>
              <w:bottom w:w="85" w:type="dxa"/>
            </w:tcMar>
          </w:tcPr>
          <w:p w:rsidR="00BA26DA" w:rsidRPr="00FB1FE7" w:rsidRDefault="00CF1843" w:rsidP="004C1DB8">
            <w:pPr>
              <w:rPr>
                <w:rFonts w:ascii="Verdana" w:hAnsi="Verdana" w:cs="Tahoma"/>
                <w:sz w:val="16"/>
                <w:szCs w:val="16"/>
                <w:lang w:val="es-ES_tradnl"/>
              </w:rPr>
            </w:pPr>
            <w:r w:rsidRPr="00FB1FE7">
              <w:rPr>
                <w:rFonts w:ascii="Verdana" w:hAnsi="Verdana" w:cs="Tahoma"/>
                <w:sz w:val="16"/>
                <w:szCs w:val="16"/>
                <w:lang w:val="es-ES_tradnl"/>
              </w:rPr>
              <w:t xml:space="preserve">El plan HACCP se detallará un estricto protocolo que incluya: (i) </w:t>
            </w:r>
            <w:r w:rsidR="004C1DB8" w:rsidRPr="00FB1FE7">
              <w:rPr>
                <w:rFonts w:ascii="Verdana" w:hAnsi="Verdana" w:cs="Tahoma"/>
                <w:sz w:val="16"/>
                <w:szCs w:val="16"/>
                <w:lang w:val="es-ES_tradnl"/>
              </w:rPr>
              <w:t xml:space="preserve">una </w:t>
            </w:r>
            <w:r w:rsidRPr="00FB1FE7">
              <w:rPr>
                <w:rFonts w:ascii="Verdana" w:hAnsi="Verdana" w:cs="Tahoma"/>
                <w:sz w:val="16"/>
                <w:szCs w:val="16"/>
                <w:lang w:val="es-ES_tradnl"/>
              </w:rPr>
              <w:t xml:space="preserve">duración </w:t>
            </w:r>
            <w:r w:rsidR="004C1DB8" w:rsidRPr="00FB1FE7">
              <w:rPr>
                <w:rFonts w:ascii="Verdana" w:hAnsi="Verdana" w:cs="Tahoma"/>
                <w:sz w:val="16"/>
                <w:szCs w:val="16"/>
                <w:lang w:val="es-ES_tradnl"/>
              </w:rPr>
              <w:t xml:space="preserve">aceptable </w:t>
            </w:r>
            <w:r w:rsidRPr="00FB1FE7">
              <w:rPr>
                <w:rFonts w:ascii="Verdana" w:hAnsi="Verdana" w:cs="Tahoma"/>
                <w:sz w:val="16"/>
                <w:szCs w:val="16"/>
                <w:lang w:val="es-ES_tradnl"/>
              </w:rPr>
              <w:t>de las operaciones con aceites nuevos y (ii) la formalización de un acuerdo de auditoría con terceros.</w:t>
            </w:r>
          </w:p>
        </w:tc>
        <w:tc>
          <w:tcPr>
            <w:tcW w:w="1843" w:type="dxa"/>
            <w:tcBorders>
              <w:top w:val="single" w:sz="4" w:space="0" w:color="auto"/>
              <w:bottom w:val="single" w:sz="4" w:space="0" w:color="auto"/>
            </w:tcBorders>
            <w:shd w:val="clear" w:color="auto" w:fill="auto"/>
            <w:tcMar>
              <w:top w:w="85" w:type="dxa"/>
              <w:bottom w:w="85" w:type="dxa"/>
            </w:tcMar>
          </w:tcPr>
          <w:p w:rsidR="00BA26DA" w:rsidRPr="00FB1FE7" w:rsidRDefault="00A31C4F" w:rsidP="00BE596F">
            <w:pPr>
              <w:rPr>
                <w:rFonts w:ascii="Verdana" w:hAnsi="Verdana" w:cs="Arial Narrow"/>
                <w:sz w:val="16"/>
                <w:szCs w:val="16"/>
                <w:lang w:val="es-ES_tradnl"/>
              </w:rPr>
            </w:pPr>
            <w:r w:rsidRPr="00FB1FE7">
              <w:rPr>
                <w:rFonts w:ascii="Verdana" w:hAnsi="Verdana" w:cs="Arial Narrow"/>
                <w:sz w:val="16"/>
                <w:szCs w:val="16"/>
                <w:lang w:val="es-ES_tradnl"/>
              </w:rPr>
              <w:t>Las fábricas capaces de funcionar con diversas materias primas y que opten por trabajar con aceites nuevos después de haber procesado grasas animales de las categorías 1 o 2, o aceites comestibles usados procedentes de los residuos de cocina.</w:t>
            </w:r>
          </w:p>
        </w:tc>
      </w:tr>
    </w:tbl>
    <w:p w:rsidR="00E33DAE" w:rsidRPr="00FB1FE7" w:rsidRDefault="00E33DAE" w:rsidP="00BE596F">
      <w:pPr>
        <w:rPr>
          <w:rFonts w:ascii="Verdana" w:hAnsi="Verdana"/>
          <w:lang w:val="es-ES_tradnl"/>
        </w:rPr>
      </w:pPr>
    </w:p>
    <w:p w:rsidR="000137B0" w:rsidRPr="00841F1C" w:rsidRDefault="000137B0">
      <w:pPr>
        <w:rPr>
          <w:lang w:val="es-ES"/>
        </w:rPr>
      </w:pPr>
      <w:r w:rsidRPr="00841F1C">
        <w:rPr>
          <w:lang w:val="es-ES"/>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63"/>
        <w:gridCol w:w="979"/>
        <w:gridCol w:w="1418"/>
        <w:gridCol w:w="992"/>
        <w:gridCol w:w="2126"/>
        <w:gridCol w:w="1985"/>
        <w:gridCol w:w="2551"/>
        <w:gridCol w:w="2127"/>
      </w:tblGrid>
      <w:tr w:rsidR="00C724B8" w:rsidRPr="00F508C9" w:rsidTr="00673F18">
        <w:tc>
          <w:tcPr>
            <w:tcW w:w="4928" w:type="dxa"/>
            <w:gridSpan w:val="4"/>
            <w:tcBorders>
              <w:bottom w:val="single" w:sz="4" w:space="0" w:color="auto"/>
            </w:tcBorders>
            <w:shd w:val="clear" w:color="auto" w:fill="0DA72A"/>
            <w:tcMar>
              <w:top w:w="57" w:type="dxa"/>
              <w:bottom w:w="57" w:type="dxa"/>
            </w:tcMar>
            <w:vAlign w:val="center"/>
          </w:tcPr>
          <w:p w:rsidR="00C724B8" w:rsidRPr="00FB1FE7" w:rsidRDefault="00E80F73" w:rsidP="00673F18">
            <w:pPr>
              <w:spacing w:before="20" w:after="20"/>
              <w:ind w:left="85" w:right="85"/>
              <w:rPr>
                <w:rFonts w:ascii="Verdana" w:hAnsi="Verdana"/>
                <w:b/>
                <w:color w:val="FFFFFF"/>
                <w:sz w:val="32"/>
                <w:szCs w:val="32"/>
                <w:lang w:val="es-ES_tradnl"/>
              </w:rPr>
            </w:pPr>
            <w:r w:rsidRPr="00FB1FE7">
              <w:rPr>
                <w:rFonts w:ascii="Verdana" w:hAnsi="Verdana"/>
                <w:b/>
                <w:color w:val="FFFFFF"/>
                <w:sz w:val="32"/>
                <w:szCs w:val="32"/>
                <w:lang w:val="es-ES_tradnl"/>
              </w:rPr>
              <w:lastRenderedPageBreak/>
              <w:t>8. Enfoque basado en el riesgo aplicado a la glicerina</w:t>
            </w: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FB1FE7" w:rsidRDefault="00C724B8" w:rsidP="00BE596F">
            <w:pPr>
              <w:rPr>
                <w:rFonts w:ascii="Verdana" w:hAnsi="Verdana" w:cs="Tahoma"/>
                <w:b/>
                <w:color w:val="FFFFFF"/>
                <w:sz w:val="28"/>
                <w:szCs w:val="28"/>
                <w:lang w:val="es-ES_tradnl"/>
              </w:rPr>
            </w:pPr>
            <w:r w:rsidRPr="00FB1FE7">
              <w:rPr>
                <w:rFonts w:ascii="Verdana" w:hAnsi="Verdana" w:cs="Tahoma"/>
                <w:b/>
                <w:color w:val="FFFFFF"/>
                <w:sz w:val="28"/>
                <w:szCs w:val="28"/>
                <w:lang w:val="es-ES_tradnl"/>
              </w:rPr>
              <w:t>2. Recepción de la materia prima aceite vegetal</w:t>
            </w:r>
          </w:p>
        </w:tc>
      </w:tr>
      <w:tr w:rsidR="00993467" w:rsidRPr="00FB1FE7" w:rsidTr="000137B0">
        <w:tc>
          <w:tcPr>
            <w:tcW w:w="1668"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63"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979"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418"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126"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1985"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w:t>
            </w:r>
          </w:p>
        </w:tc>
        <w:tc>
          <w:tcPr>
            <w:tcW w:w="2551"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2127"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993467" w:rsidRPr="00FB1FE7" w:rsidTr="000137B0">
        <w:tc>
          <w:tcPr>
            <w:tcW w:w="1668" w:type="dxa"/>
            <w:tcBorders>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por la carga anterior durante el transporte terrestre, fluvial o marítimo</w:t>
            </w:r>
          </w:p>
        </w:tc>
        <w:tc>
          <w:tcPr>
            <w:tcW w:w="863" w:type="dxa"/>
            <w:tcBorders>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bottom w:val="single" w:sz="4" w:space="0" w:color="auto"/>
            </w:tcBorders>
            <w:shd w:val="clear" w:color="auto" w:fill="FFC000"/>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bottom w:val="single" w:sz="4" w:space="0" w:color="auto"/>
            </w:tcBorders>
            <w:tcMar>
              <w:top w:w="85" w:type="dxa"/>
              <w:bottom w:w="85" w:type="dxa"/>
            </w:tcMar>
          </w:tcPr>
          <w:p w:rsidR="006221FD" w:rsidRPr="00FB1FE7" w:rsidRDefault="00993467" w:rsidP="00BE596F">
            <w:pPr>
              <w:rPr>
                <w:rFonts w:ascii="Verdana" w:hAnsi="Verdana"/>
                <w:sz w:val="16"/>
                <w:szCs w:val="16"/>
                <w:lang w:val="es-ES_tradnl"/>
              </w:rPr>
            </w:pPr>
            <w:r w:rsidRPr="00FB1FE7">
              <w:rPr>
                <w:rFonts w:ascii="Verdana" w:hAnsi="Verdana" w:cs="Tahoma"/>
                <w:sz w:val="16"/>
                <w:szCs w:val="16"/>
                <w:lang w:val="es-ES_tradnl"/>
              </w:rPr>
              <w:t>El transporte de aceites vegetales se realiza normalmente en vehículos de carga especiales.</w:t>
            </w:r>
          </w:p>
          <w:p w:rsidR="00993467" w:rsidRPr="00FB1FE7" w:rsidRDefault="00993467" w:rsidP="00BE596F">
            <w:pPr>
              <w:rPr>
                <w:rFonts w:ascii="Verdana" w:hAnsi="Verdana" w:cs="Tahoma"/>
                <w:sz w:val="16"/>
                <w:szCs w:val="16"/>
                <w:lang w:val="es-ES_tradnl"/>
              </w:rPr>
            </w:pPr>
          </w:p>
        </w:tc>
        <w:tc>
          <w:tcPr>
            <w:tcW w:w="1985" w:type="dxa"/>
            <w:tcBorders>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2551" w:type="dxa"/>
            <w:tcBorders>
              <w:bottom w:val="single" w:sz="4" w:space="0" w:color="auto"/>
            </w:tcBorders>
            <w:tcMar>
              <w:top w:w="85" w:type="dxa"/>
              <w:bottom w:w="85" w:type="dxa"/>
            </w:tcMar>
          </w:tcPr>
          <w:p w:rsidR="00993467" w:rsidRPr="00FB1FE7" w:rsidRDefault="006221FD" w:rsidP="00BE596F">
            <w:pPr>
              <w:rPr>
                <w:rFonts w:ascii="Verdana" w:hAnsi="Verdana"/>
                <w:sz w:val="16"/>
                <w:szCs w:val="16"/>
                <w:lang w:val="es-ES_tradnl"/>
              </w:rPr>
            </w:pPr>
            <w:r w:rsidRPr="00FB1FE7">
              <w:rPr>
                <w:rFonts w:ascii="Verdana" w:hAnsi="Verdana"/>
                <w:sz w:val="16"/>
                <w:szCs w:val="16"/>
                <w:lang w:val="es-ES_tradnl"/>
              </w:rPr>
              <w:t>Se deberá evaluar el riesgo y adoptar las medidas oportunas para reducir este riesgo hasta un nivel aceptable. Transporte separado, control de las tres cargas anteriores.</w:t>
            </w:r>
          </w:p>
        </w:tc>
        <w:tc>
          <w:tcPr>
            <w:tcW w:w="2127" w:type="dxa"/>
            <w:tcBorders>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Controles visuales.</w:t>
            </w:r>
          </w:p>
        </w:tc>
      </w:tr>
      <w:tr w:rsidR="00993467" w:rsidRPr="00F508C9" w:rsidTr="000137B0">
        <w:tc>
          <w:tcPr>
            <w:tcW w:w="1668" w:type="dxa"/>
            <w:tcBorders>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Cuerpos extraños </w:t>
            </w:r>
          </w:p>
        </w:tc>
        <w:tc>
          <w:tcPr>
            <w:tcW w:w="863" w:type="dxa"/>
            <w:tcBorders>
              <w:bottom w:val="single" w:sz="4" w:space="0" w:color="auto"/>
            </w:tcBorders>
            <w:tcMar>
              <w:top w:w="85" w:type="dxa"/>
              <w:bottom w:w="85" w:type="dxa"/>
            </w:tcMar>
          </w:tcPr>
          <w:p w:rsidR="00993467" w:rsidRPr="00FB1FE7" w:rsidRDefault="004C1DB8" w:rsidP="00BE596F">
            <w:pPr>
              <w:jc w:val="center"/>
              <w:rPr>
                <w:rFonts w:ascii="Verdana" w:hAnsi="Verdana" w:cs="Tahoma"/>
                <w:sz w:val="16"/>
                <w:szCs w:val="16"/>
                <w:lang w:val="es-ES_tradnl"/>
              </w:rPr>
            </w:pPr>
            <w:r w:rsidRPr="00FB1FE7">
              <w:rPr>
                <w:rFonts w:ascii="Verdana" w:hAnsi="Verdana" w:cs="Tahoma"/>
                <w:sz w:val="16"/>
                <w:szCs w:val="16"/>
                <w:lang w:val="es-ES_tradnl"/>
              </w:rPr>
              <w:t>F</w:t>
            </w:r>
          </w:p>
        </w:tc>
        <w:tc>
          <w:tcPr>
            <w:tcW w:w="979" w:type="dxa"/>
            <w:tcBorders>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Baja </w:t>
            </w:r>
          </w:p>
        </w:tc>
        <w:tc>
          <w:tcPr>
            <w:tcW w:w="1418" w:type="dxa"/>
            <w:tcBorders>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Baja </w:t>
            </w:r>
          </w:p>
        </w:tc>
        <w:tc>
          <w:tcPr>
            <w:tcW w:w="992" w:type="dxa"/>
            <w:tcBorders>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1 </w:t>
            </w:r>
          </w:p>
        </w:tc>
        <w:tc>
          <w:tcPr>
            <w:tcW w:w="2126" w:type="dxa"/>
            <w:tcBorders>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Posible presencia de cuerpos extraños.</w:t>
            </w:r>
          </w:p>
        </w:tc>
        <w:tc>
          <w:tcPr>
            <w:tcW w:w="1985" w:type="dxa"/>
            <w:tcBorders>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2551" w:type="dxa"/>
            <w:tcBorders>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Edificios separados y filtros en los circuitos, higiene del personal, procedimiento para retirar los fragmentos de vidrio, buenas prácticas de mantenimiento.</w:t>
            </w:r>
          </w:p>
        </w:tc>
        <w:tc>
          <w:tcPr>
            <w:tcW w:w="2127" w:type="dxa"/>
            <w:tcBorders>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r>
      <w:tr w:rsidR="00993467" w:rsidRPr="00F508C9" w:rsidTr="000137B0">
        <w:tc>
          <w:tcPr>
            <w:tcW w:w="1668"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con sustancias indeseables</w:t>
            </w:r>
          </w:p>
          <w:p w:rsidR="00993467" w:rsidRPr="00FB1FE7" w:rsidRDefault="00993467" w:rsidP="00BE596F">
            <w:pPr>
              <w:rPr>
                <w:rFonts w:ascii="Verdana" w:hAnsi="Verdana" w:cs="Tahoma"/>
                <w:b/>
                <w:bCs/>
                <w:sz w:val="16"/>
                <w:szCs w:val="16"/>
                <w:lang w:val="es-ES_tradnl"/>
              </w:rPr>
            </w:pP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FF185B" w:rsidP="000137B0">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4A2A8A" w:rsidRPr="00FB1FE7" w:rsidRDefault="004A2A8A" w:rsidP="00BE596F">
            <w:pPr>
              <w:rPr>
                <w:rFonts w:ascii="Verdana" w:hAnsi="Verdana" w:cs="Tahoma"/>
                <w:sz w:val="16"/>
                <w:szCs w:val="16"/>
                <w:lang w:val="es-ES_tradnl"/>
              </w:rPr>
            </w:pPr>
          </w:p>
          <w:p w:rsidR="0072409A" w:rsidRPr="00FB1FE7" w:rsidRDefault="0072409A" w:rsidP="00BE596F">
            <w:pPr>
              <w:rPr>
                <w:rFonts w:ascii="Verdana" w:hAnsi="Verdana" w:cs="Tahoma"/>
                <w:sz w:val="16"/>
                <w:szCs w:val="16"/>
                <w:lang w:val="es-ES_tradnl"/>
              </w:rPr>
            </w:pPr>
            <w:r w:rsidRPr="00FB1FE7">
              <w:rPr>
                <w:rFonts w:ascii="Verdana" w:hAnsi="Verdana"/>
                <w:sz w:val="16"/>
                <w:szCs w:val="16"/>
                <w:lang w:val="es-ES_tradnl"/>
              </w:rPr>
              <w:t>Por lo general, los contaminantes indicados a continuación no se concentran en la glicerina, sino en los ésteres metílicos de los ácidos grasos (FAME).</w:t>
            </w:r>
          </w:p>
        </w:tc>
        <w:tc>
          <w:tcPr>
            <w:tcW w:w="1985" w:type="dxa"/>
            <w:tcBorders>
              <w:top w:val="single" w:sz="4" w:space="0" w:color="auto"/>
              <w:bottom w:val="single" w:sz="4" w:space="0" w:color="auto"/>
            </w:tcBorders>
            <w:tcMar>
              <w:top w:w="85" w:type="dxa"/>
              <w:bottom w:w="85" w:type="dxa"/>
            </w:tcMar>
          </w:tcPr>
          <w:p w:rsidR="00993467" w:rsidRPr="00FB1FE7" w:rsidRDefault="0072409A" w:rsidP="00BE596F">
            <w:pPr>
              <w:rPr>
                <w:rFonts w:ascii="Verdana" w:hAnsi="Verdana"/>
                <w:sz w:val="16"/>
                <w:szCs w:val="16"/>
                <w:lang w:val="es-ES_tradnl"/>
              </w:rPr>
            </w:pPr>
            <w:r w:rsidRPr="00FB1FE7">
              <w:rPr>
                <w:rFonts w:ascii="Verdana" w:hAnsi="Verdana"/>
                <w:sz w:val="16"/>
                <w:szCs w:val="16"/>
                <w:lang w:val="es-ES_tradnl"/>
              </w:rPr>
              <w:t>Reglamento (CE) nº</w:t>
            </w:r>
            <w:r w:rsidR="000137B0" w:rsidRPr="00FB1FE7">
              <w:rPr>
                <w:rFonts w:ascii="Verdana" w:hAnsi="Verdana"/>
                <w:sz w:val="16"/>
                <w:szCs w:val="16"/>
                <w:lang w:val="es-ES_tradnl"/>
              </w:rPr>
              <w:t> </w:t>
            </w:r>
            <w:r w:rsidRPr="00FB1FE7">
              <w:rPr>
                <w:rFonts w:ascii="Verdana" w:hAnsi="Verdana"/>
                <w:sz w:val="16"/>
                <w:szCs w:val="16"/>
                <w:lang w:val="es-ES_tradnl"/>
              </w:rPr>
              <w:t>32/2002 sobre sustancias indeseables en la alimentación animal.</w:t>
            </w:r>
          </w:p>
          <w:p w:rsidR="00993467" w:rsidRPr="00FB1FE7" w:rsidRDefault="00993467" w:rsidP="00BE596F">
            <w:pPr>
              <w:rPr>
                <w:rFonts w:ascii="Verdana" w:hAnsi="Verdana" w:cs="Tahoma"/>
                <w:sz w:val="16"/>
                <w:szCs w:val="16"/>
                <w:lang w:val="es-ES_tradnl"/>
              </w:rPr>
            </w:pP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Normalmente, la PROBABILIDAD de contaminación con sustancias indeseables es BAJA, pero si el fabricante adquiere materias primas de calidad inferior se elevará a media.</w:t>
            </w:r>
          </w:p>
        </w:tc>
      </w:tr>
      <w:tr w:rsidR="00993467" w:rsidRPr="00F508C9" w:rsidTr="000137B0">
        <w:tc>
          <w:tcPr>
            <w:tcW w:w="1668" w:type="dxa"/>
            <w:tcBorders>
              <w:top w:val="single" w:sz="4" w:space="0" w:color="auto"/>
              <w:bottom w:val="single" w:sz="4" w:space="0" w:color="auto"/>
            </w:tcBorders>
            <w:tcMar>
              <w:top w:w="85" w:type="dxa"/>
              <w:bottom w:w="85" w:type="dxa"/>
            </w:tcMar>
          </w:tcPr>
          <w:p w:rsidR="00993467" w:rsidRPr="00FB1FE7" w:rsidRDefault="00993467" w:rsidP="004C1DB8">
            <w:pPr>
              <w:rPr>
                <w:rFonts w:ascii="Verdana" w:hAnsi="Verdana" w:cs="Tahoma"/>
                <w:b/>
                <w:bCs/>
                <w:sz w:val="16"/>
                <w:szCs w:val="16"/>
                <w:lang w:val="es-ES_tradnl"/>
              </w:rPr>
            </w:pPr>
            <w:r w:rsidRPr="00FB1FE7">
              <w:rPr>
                <w:rFonts w:ascii="Verdana" w:hAnsi="Verdana" w:cs="Tahoma"/>
                <w:b/>
                <w:bCs/>
                <w:sz w:val="16"/>
                <w:szCs w:val="16"/>
                <w:lang w:val="es-ES_tradnl"/>
              </w:rPr>
              <w:t xml:space="preserve">- Dioxinas y </w:t>
            </w:r>
            <w:r w:rsidR="004C1DB8" w:rsidRPr="00FB1FE7">
              <w:rPr>
                <w:rFonts w:ascii="Verdana" w:hAnsi="Verdana" w:cs="Tahoma"/>
                <w:b/>
                <w:bCs/>
                <w:sz w:val="16"/>
                <w:szCs w:val="16"/>
                <w:lang w:val="es-ES_tradnl"/>
              </w:rPr>
              <w:t xml:space="preserve">PCB </w:t>
            </w:r>
            <w:r w:rsidRPr="00841F1C">
              <w:rPr>
                <w:rFonts w:ascii="Verdana" w:hAnsi="Verdana" w:cs="Tahoma"/>
                <w:b/>
                <w:bCs/>
                <w:sz w:val="16"/>
                <w:szCs w:val="16"/>
                <w:lang w:val="es-ES_tradnl"/>
              </w:rPr>
              <w:t>análogos a la dioxina</w:t>
            </w: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CC2654" w:rsidP="00BE596F">
            <w:pPr>
              <w:jc w:val="center"/>
              <w:rPr>
                <w:rFonts w:ascii="Verdana" w:hAnsi="Verdana" w:cs="Tahoma"/>
                <w:sz w:val="16"/>
                <w:szCs w:val="16"/>
                <w:lang w:val="es-ES_tradnl"/>
              </w:rPr>
            </w:pPr>
            <w:r w:rsidRPr="00FB1FE7">
              <w:rPr>
                <w:rFonts w:ascii="Verdana" w:hAnsi="Verdana" w:cs="Tahoma"/>
                <w:sz w:val="16"/>
                <w:szCs w:val="16"/>
                <w:lang w:val="es-ES_tradnl"/>
              </w:rPr>
              <w:t>Muy 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auto"/>
            <w:tcMar>
              <w:top w:w="85" w:type="dxa"/>
              <w:bottom w:w="85" w:type="dxa"/>
            </w:tcMar>
          </w:tcPr>
          <w:p w:rsidR="00993467" w:rsidRPr="00FB1FE7" w:rsidRDefault="00494D0C"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1985" w:type="dxa"/>
            <w:tcBorders>
              <w:top w:val="single" w:sz="4" w:space="0" w:color="auto"/>
              <w:bottom w:val="single" w:sz="4" w:space="0" w:color="auto"/>
            </w:tcBorders>
            <w:tcMar>
              <w:top w:w="85" w:type="dxa"/>
              <w:bottom w:w="85" w:type="dxa"/>
            </w:tcMar>
          </w:tcPr>
          <w:p w:rsidR="00993467" w:rsidRPr="00FB1FE7" w:rsidRDefault="004D7CE5" w:rsidP="00BE596F">
            <w:pPr>
              <w:rPr>
                <w:rFonts w:ascii="Verdana" w:hAnsi="Verdana" w:cs="Tahoma"/>
                <w:sz w:val="16"/>
                <w:szCs w:val="16"/>
                <w:lang w:val="es-ES_tradnl"/>
              </w:rPr>
            </w:pPr>
            <w:r w:rsidRPr="00FB1FE7">
              <w:rPr>
                <w:rFonts w:ascii="Verdana" w:hAnsi="Verdana"/>
                <w:sz w:val="16"/>
                <w:szCs w:val="16"/>
                <w:lang w:val="es-ES_tradnl"/>
              </w:rPr>
              <w:t>Directiva 2002/32/CE y Reglamento (UE) nº 225/2012.</w:t>
            </w: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4D7CE5" w:rsidP="000137B0">
            <w:pPr>
              <w:rPr>
                <w:rFonts w:ascii="Verdana" w:hAnsi="Verdana" w:cs="Tahoma"/>
                <w:sz w:val="16"/>
                <w:szCs w:val="16"/>
                <w:lang w:val="es-ES_tradnl"/>
              </w:rPr>
            </w:pPr>
            <w:r w:rsidRPr="00FB1FE7">
              <w:rPr>
                <w:rFonts w:ascii="Verdana" w:hAnsi="Verdana"/>
                <w:sz w:val="16"/>
                <w:szCs w:val="16"/>
                <w:lang w:val="es-ES_tradnl"/>
              </w:rPr>
              <w:t>El Reglamento (UE) nº</w:t>
            </w:r>
            <w:r w:rsidR="000137B0" w:rsidRPr="00FB1FE7">
              <w:rPr>
                <w:rFonts w:ascii="Verdana" w:hAnsi="Verdana"/>
                <w:sz w:val="16"/>
                <w:szCs w:val="16"/>
                <w:lang w:val="es-ES_tradnl"/>
              </w:rPr>
              <w:t> </w:t>
            </w:r>
            <w:r w:rsidRPr="00FB1FE7">
              <w:rPr>
                <w:rFonts w:ascii="Verdana" w:hAnsi="Verdana"/>
                <w:sz w:val="16"/>
                <w:szCs w:val="16"/>
                <w:lang w:val="es-ES_tradnl"/>
              </w:rPr>
              <w:t>225/2012 estipula para determinados materiales de entrada un seguimiento del 100</w:t>
            </w:r>
            <w:r w:rsidR="00673F18" w:rsidRPr="00FB1FE7">
              <w:rPr>
                <w:rFonts w:ascii="Verdana" w:hAnsi="Verdana"/>
                <w:sz w:val="16"/>
                <w:szCs w:val="16"/>
                <w:lang w:val="es-ES_tradnl"/>
              </w:rPr>
              <w:t> %</w:t>
            </w:r>
            <w:r w:rsidRPr="00FB1FE7">
              <w:rPr>
                <w:rFonts w:ascii="Verdana" w:hAnsi="Verdana"/>
                <w:sz w:val="16"/>
                <w:szCs w:val="16"/>
                <w:lang w:val="es-ES_tradnl"/>
              </w:rPr>
              <w:t xml:space="preserve"> al objeto de controlar la dioxina.</w:t>
            </w:r>
          </w:p>
        </w:tc>
      </w:tr>
      <w:tr w:rsidR="00993467" w:rsidRPr="00F508C9" w:rsidTr="000137B0">
        <w:tc>
          <w:tcPr>
            <w:tcW w:w="1668"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 Níquel</w:t>
            </w: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1985" w:type="dxa"/>
            <w:tcBorders>
              <w:top w:val="single" w:sz="4" w:space="0" w:color="auto"/>
              <w:bottom w:val="single" w:sz="4" w:space="0" w:color="auto"/>
            </w:tcBorders>
            <w:tcMar>
              <w:top w:w="85" w:type="dxa"/>
              <w:bottom w:w="85" w:type="dxa"/>
            </w:tcMar>
          </w:tcPr>
          <w:p w:rsidR="00993467" w:rsidRPr="00FB1FE7" w:rsidRDefault="00993467" w:rsidP="000137B0">
            <w:pPr>
              <w:rPr>
                <w:rFonts w:ascii="Verdana" w:hAnsi="Verdana"/>
                <w:sz w:val="16"/>
                <w:szCs w:val="16"/>
                <w:lang w:val="es-ES_tradnl"/>
              </w:rPr>
            </w:pPr>
            <w:r w:rsidRPr="00FB1FE7">
              <w:rPr>
                <w:rFonts w:ascii="Verdana" w:hAnsi="Verdana"/>
                <w:sz w:val="16"/>
                <w:szCs w:val="16"/>
                <w:lang w:val="es-ES_tradnl"/>
              </w:rPr>
              <w:t>Reglamento (UE) nº</w:t>
            </w:r>
            <w:r w:rsidR="000137B0" w:rsidRPr="00FB1FE7">
              <w:rPr>
                <w:rFonts w:ascii="Verdana" w:hAnsi="Verdana"/>
                <w:sz w:val="16"/>
                <w:szCs w:val="16"/>
                <w:lang w:val="es-ES_tradnl"/>
              </w:rPr>
              <w:t> </w:t>
            </w:r>
            <w:r w:rsidRPr="00FB1FE7">
              <w:rPr>
                <w:rFonts w:ascii="Verdana" w:hAnsi="Verdana"/>
                <w:sz w:val="16"/>
                <w:szCs w:val="16"/>
                <w:lang w:val="es-ES_tradnl"/>
              </w:rPr>
              <w:t>68/2013 relativo al Catálogo de materias primas para piensos.</w:t>
            </w: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CC2654" w:rsidP="00BE596F">
            <w:pPr>
              <w:rPr>
                <w:rFonts w:ascii="Verdana" w:hAnsi="Verdana" w:cs="Tahoma"/>
                <w:sz w:val="16"/>
                <w:szCs w:val="16"/>
                <w:lang w:val="es-ES_tradnl"/>
              </w:rPr>
            </w:pPr>
            <w:r w:rsidRPr="00FB1FE7">
              <w:rPr>
                <w:rFonts w:ascii="Verdana" w:hAnsi="Verdana" w:cs="Tahoma"/>
                <w:sz w:val="16"/>
                <w:szCs w:val="16"/>
                <w:lang w:val="es-ES_tradnl"/>
              </w:rPr>
              <w:t>En la mayoría de los casos no se utiliza níquel en la fabricación del biodiésel.</w:t>
            </w:r>
          </w:p>
        </w:tc>
      </w:tr>
      <w:tr w:rsidR="00993467" w:rsidRPr="00FB1FE7" w:rsidTr="000137B0">
        <w:tc>
          <w:tcPr>
            <w:tcW w:w="1668" w:type="dxa"/>
            <w:tcBorders>
              <w:top w:val="single" w:sz="4" w:space="0" w:color="auto"/>
              <w:bottom w:val="single" w:sz="4" w:space="0" w:color="auto"/>
            </w:tcBorders>
            <w:tcMar>
              <w:top w:w="85" w:type="dxa"/>
              <w:bottom w:w="85" w:type="dxa"/>
            </w:tcMar>
          </w:tcPr>
          <w:p w:rsidR="00993467" w:rsidRPr="00FB1FE7" w:rsidRDefault="006221FD" w:rsidP="00DC7AD5">
            <w:pPr>
              <w:rPr>
                <w:rFonts w:ascii="Verdana" w:hAnsi="Verdana" w:cs="Tahoma"/>
                <w:b/>
                <w:bCs/>
                <w:sz w:val="16"/>
                <w:szCs w:val="16"/>
                <w:lang w:val="es-ES_tradnl"/>
              </w:rPr>
            </w:pPr>
            <w:r w:rsidRPr="00FB1FE7">
              <w:rPr>
                <w:rFonts w:ascii="Verdana" w:hAnsi="Verdana" w:cs="Tahoma"/>
                <w:b/>
                <w:bCs/>
                <w:sz w:val="16"/>
                <w:szCs w:val="16"/>
                <w:lang w:val="es-ES_tradnl"/>
              </w:rPr>
              <w:lastRenderedPageBreak/>
              <w:t xml:space="preserve">- </w:t>
            </w:r>
            <w:r w:rsidR="00DC7AD5" w:rsidRPr="00FB1FE7">
              <w:rPr>
                <w:rFonts w:ascii="Verdana" w:hAnsi="Verdana" w:cs="Tahoma"/>
                <w:b/>
                <w:bCs/>
                <w:sz w:val="16"/>
                <w:szCs w:val="16"/>
                <w:lang w:val="es-ES_tradnl"/>
              </w:rPr>
              <w:t xml:space="preserve">PCB </w:t>
            </w:r>
            <w:r w:rsidRPr="00FB1FE7">
              <w:rPr>
                <w:rFonts w:ascii="Verdana" w:hAnsi="Verdana" w:cs="Tahoma"/>
                <w:b/>
                <w:bCs/>
                <w:sz w:val="16"/>
                <w:szCs w:val="16"/>
                <w:lang w:val="es-ES_tradnl"/>
              </w:rPr>
              <w:t>no análogos a la dioxina</w:t>
            </w: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CC2654" w:rsidP="00BE596F">
            <w:pPr>
              <w:jc w:val="center"/>
              <w:rPr>
                <w:rFonts w:ascii="Verdana" w:hAnsi="Verdana" w:cs="Tahoma"/>
                <w:sz w:val="16"/>
                <w:szCs w:val="16"/>
                <w:lang w:val="es-ES_tradnl"/>
              </w:rPr>
            </w:pPr>
            <w:r w:rsidRPr="00FB1FE7">
              <w:rPr>
                <w:rFonts w:ascii="Verdana" w:hAnsi="Verdana" w:cs="Tahoma"/>
                <w:sz w:val="16"/>
                <w:szCs w:val="16"/>
                <w:lang w:val="es-ES_tradnl"/>
              </w:rPr>
              <w:t>Muy 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auto"/>
            <w:tcMar>
              <w:top w:w="85" w:type="dxa"/>
              <w:bottom w:w="85" w:type="dxa"/>
            </w:tcMar>
          </w:tcPr>
          <w:p w:rsidR="00993467" w:rsidRPr="00FB1FE7" w:rsidRDefault="00494D0C"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1985"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sz w:val="16"/>
                <w:szCs w:val="16"/>
                <w:lang w:val="es-ES_tradnl"/>
              </w:rPr>
            </w:pPr>
          </w:p>
          <w:p w:rsidR="004D7CE5" w:rsidRPr="00FB1FE7" w:rsidRDefault="004D7CE5" w:rsidP="00BE596F">
            <w:pPr>
              <w:rPr>
                <w:rFonts w:ascii="Verdana" w:hAnsi="Verdana"/>
                <w:sz w:val="16"/>
                <w:szCs w:val="16"/>
                <w:lang w:val="es-ES_tradnl"/>
              </w:rPr>
            </w:pPr>
            <w:r w:rsidRPr="00FB1FE7">
              <w:rPr>
                <w:rFonts w:ascii="Verdana" w:hAnsi="Verdana"/>
                <w:sz w:val="16"/>
                <w:szCs w:val="16"/>
                <w:lang w:val="es-ES_tradnl"/>
              </w:rPr>
              <w:t>Directiva 2002/32/CE sobre sustancias indeseables en la alimentación animal.</w:t>
            </w: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Plan de seguimiento.</w:t>
            </w:r>
          </w:p>
          <w:p w:rsidR="00D05EA6" w:rsidRPr="00FB1FE7" w:rsidRDefault="00D05EA6" w:rsidP="00BE596F">
            <w:pPr>
              <w:rPr>
                <w:rFonts w:ascii="Verdana" w:hAnsi="Verdana" w:cs="Tahoma"/>
                <w:sz w:val="16"/>
                <w:szCs w:val="16"/>
                <w:lang w:val="es-ES_tradnl"/>
              </w:rPr>
            </w:pPr>
          </w:p>
        </w:tc>
        <w:tc>
          <w:tcPr>
            <w:tcW w:w="2127"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r>
      <w:tr w:rsidR="00993467" w:rsidRPr="00FB1FE7" w:rsidTr="000137B0">
        <w:tc>
          <w:tcPr>
            <w:tcW w:w="1668"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 HAP</w:t>
            </w: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1985"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sz w:val="16"/>
                <w:szCs w:val="16"/>
                <w:lang w:val="es-ES_tradnl"/>
              </w:rPr>
            </w:pP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r>
      <w:tr w:rsidR="00993467" w:rsidRPr="00F508C9" w:rsidTr="000137B0">
        <w:tc>
          <w:tcPr>
            <w:tcW w:w="1668"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Residuos de plaguicidas por encima del límite m</w:t>
            </w:r>
            <w:r w:rsidR="00FB1FE7">
              <w:rPr>
                <w:rFonts w:ascii="Verdana" w:hAnsi="Verdana" w:cs="Tahoma"/>
                <w:b/>
                <w:bCs/>
                <w:sz w:val="16"/>
                <w:szCs w:val="16"/>
                <w:lang w:val="es-ES_tradnl"/>
              </w:rPr>
              <w:t xml:space="preserve">áximo </w:t>
            </w:r>
            <w:r w:rsidRPr="00FB1FE7">
              <w:rPr>
                <w:rFonts w:ascii="Verdana" w:hAnsi="Verdana" w:cs="Tahoma"/>
                <w:b/>
                <w:bCs/>
                <w:sz w:val="16"/>
                <w:szCs w:val="16"/>
                <w:lang w:val="es-ES_tradnl"/>
              </w:rPr>
              <w:t xml:space="preserve"> de </w:t>
            </w:r>
            <w:r w:rsidR="00FB1FE7">
              <w:rPr>
                <w:rFonts w:ascii="Verdana" w:hAnsi="Verdana" w:cs="Tahoma"/>
                <w:b/>
                <w:bCs/>
                <w:sz w:val="16"/>
                <w:szCs w:val="16"/>
                <w:lang w:val="es-ES_tradnl"/>
              </w:rPr>
              <w:t>residuos</w:t>
            </w:r>
            <w:r w:rsidRPr="00FB1FE7">
              <w:rPr>
                <w:rFonts w:ascii="Verdana" w:hAnsi="Verdana" w:cs="Tahoma"/>
                <w:b/>
                <w:bCs/>
                <w:sz w:val="16"/>
                <w:szCs w:val="16"/>
                <w:lang w:val="es-ES_tradnl"/>
              </w:rPr>
              <w:t xml:space="preserve"> (LMR), es decir, residuos de herbicidas,</w:t>
            </w:r>
            <w:r w:rsidR="00DC7AD5" w:rsidRPr="00FB1FE7">
              <w:rPr>
                <w:rFonts w:ascii="Verdana" w:hAnsi="Verdana" w:cs="Tahoma"/>
                <w:b/>
                <w:bCs/>
                <w:sz w:val="16"/>
                <w:szCs w:val="16"/>
                <w:lang w:val="es-ES_tradnl"/>
              </w:rPr>
              <w:t xml:space="preserve"> insecticidas, </w:t>
            </w:r>
            <w:r w:rsidRPr="00FB1FE7">
              <w:rPr>
                <w:rFonts w:ascii="Verdana" w:hAnsi="Verdana" w:cs="Tahoma"/>
                <w:b/>
                <w:bCs/>
                <w:sz w:val="16"/>
                <w:szCs w:val="16"/>
                <w:lang w:val="es-ES_tradnl"/>
              </w:rPr>
              <w:t xml:space="preserve"> fungicidas o rodenticidas superiores al LMR.</w:t>
            </w:r>
          </w:p>
          <w:p w:rsidR="006221FD" w:rsidRPr="00FB1FE7" w:rsidRDefault="006221FD" w:rsidP="00BE596F">
            <w:pPr>
              <w:rPr>
                <w:rFonts w:ascii="Verdana" w:hAnsi="Verdana" w:cs="Tahoma"/>
                <w:b/>
                <w:bCs/>
                <w:sz w:val="16"/>
                <w:szCs w:val="16"/>
                <w:lang w:val="es-ES_tradnl"/>
              </w:rPr>
            </w:pP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DC7AD5" w:rsidP="00DC7AD5">
            <w:pPr>
              <w:rPr>
                <w:rFonts w:ascii="Verdana" w:hAnsi="Verdana" w:cs="Tahoma"/>
                <w:sz w:val="16"/>
                <w:szCs w:val="16"/>
                <w:lang w:val="es-ES_tradnl"/>
              </w:rPr>
            </w:pPr>
            <w:r w:rsidRPr="00FB1FE7">
              <w:rPr>
                <w:rFonts w:ascii="Verdana" w:hAnsi="Verdana" w:cs="Tahoma"/>
                <w:sz w:val="16"/>
                <w:szCs w:val="16"/>
                <w:lang w:val="es-ES_tradnl"/>
              </w:rPr>
              <w:t>El c</w:t>
            </w:r>
            <w:r w:rsidR="00993467" w:rsidRPr="00FB1FE7">
              <w:rPr>
                <w:rFonts w:ascii="Verdana" w:hAnsi="Verdana" w:cs="Tahoma"/>
                <w:sz w:val="16"/>
                <w:szCs w:val="16"/>
                <w:lang w:val="es-ES_tradnl"/>
              </w:rPr>
              <w:t>ontrol periódico de los residuos de plaguicidas en el aceite en bruto</w:t>
            </w:r>
            <w:r w:rsidRPr="00FB1FE7">
              <w:rPr>
                <w:rFonts w:ascii="Verdana" w:hAnsi="Verdana" w:cs="Tahoma"/>
                <w:sz w:val="16"/>
                <w:szCs w:val="16"/>
                <w:lang w:val="es-ES_tradnl"/>
              </w:rPr>
              <w:t xml:space="preserve"> muestra</w:t>
            </w:r>
            <w:r w:rsidR="00993467" w:rsidRPr="00FB1FE7">
              <w:rPr>
                <w:rFonts w:ascii="Verdana" w:hAnsi="Verdana" w:cs="Tahoma"/>
                <w:sz w:val="16"/>
                <w:szCs w:val="16"/>
                <w:lang w:val="es-ES_tradnl"/>
              </w:rPr>
              <w:t xml:space="preserve"> que </w:t>
            </w:r>
            <w:r w:rsidRPr="00FB1FE7">
              <w:rPr>
                <w:rFonts w:ascii="Verdana" w:hAnsi="Verdana" w:cs="Tahoma"/>
                <w:sz w:val="16"/>
                <w:szCs w:val="16"/>
                <w:lang w:val="es-ES_tradnl"/>
              </w:rPr>
              <w:t>los niveles de residuos</w:t>
            </w:r>
            <w:r w:rsidR="00993467" w:rsidRPr="00FB1FE7">
              <w:rPr>
                <w:rFonts w:ascii="Verdana" w:hAnsi="Verdana" w:cs="Tahoma"/>
                <w:sz w:val="16"/>
                <w:szCs w:val="16"/>
                <w:lang w:val="es-ES_tradnl"/>
              </w:rPr>
              <w:t xml:space="preserve">se mantienen dentro de los límites autorizados. </w:t>
            </w:r>
          </w:p>
        </w:tc>
        <w:tc>
          <w:tcPr>
            <w:tcW w:w="1985" w:type="dxa"/>
            <w:tcBorders>
              <w:top w:val="single" w:sz="4" w:space="0" w:color="auto"/>
              <w:bottom w:val="single" w:sz="4" w:space="0" w:color="auto"/>
            </w:tcBorders>
            <w:tcMar>
              <w:top w:w="85" w:type="dxa"/>
              <w:bottom w:w="85" w:type="dxa"/>
            </w:tcMar>
          </w:tcPr>
          <w:p w:rsidR="00993467" w:rsidRPr="00FB1FE7" w:rsidRDefault="00993467" w:rsidP="000137B0">
            <w:pPr>
              <w:rPr>
                <w:rFonts w:ascii="Verdana" w:hAnsi="Verdana"/>
                <w:sz w:val="16"/>
                <w:szCs w:val="16"/>
                <w:lang w:val="es-ES_tradnl"/>
              </w:rPr>
            </w:pPr>
            <w:r w:rsidRPr="00FB1FE7">
              <w:rPr>
                <w:rFonts w:ascii="Verdana" w:hAnsi="Verdana" w:cs="Tahoma"/>
                <w:sz w:val="16"/>
                <w:szCs w:val="16"/>
                <w:lang w:val="es-ES_tradnl"/>
              </w:rPr>
              <w:t>Reglamento (CE) nº</w:t>
            </w:r>
            <w:r w:rsidR="000137B0" w:rsidRPr="00FB1FE7">
              <w:rPr>
                <w:rFonts w:ascii="Verdana" w:hAnsi="Verdana" w:cs="Tahoma"/>
                <w:sz w:val="16"/>
                <w:szCs w:val="16"/>
                <w:lang w:val="es-ES_tradnl"/>
              </w:rPr>
              <w:t> </w:t>
            </w:r>
            <w:r w:rsidRPr="00FB1FE7">
              <w:rPr>
                <w:rFonts w:ascii="Verdana" w:hAnsi="Verdana" w:cs="Tahoma"/>
                <w:sz w:val="16"/>
                <w:szCs w:val="16"/>
                <w:lang w:val="es-ES_tradnl"/>
              </w:rPr>
              <w:t xml:space="preserve">396/2005 relativo a los límites máximos de residuos de plaguicidas. Este Reglamento permite aplicar un factor de transformación o concentración de los plaguicidas autorizados en los productos transformados, garantizando de este modo la seguridad de los alimentos. </w:t>
            </w: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587768" w:rsidP="00BE596F">
            <w:pPr>
              <w:rPr>
                <w:rFonts w:ascii="Verdana" w:hAnsi="Verdana" w:cs="Tahoma"/>
                <w:sz w:val="16"/>
                <w:szCs w:val="16"/>
                <w:lang w:val="es-ES_tradnl"/>
              </w:rPr>
            </w:pPr>
            <w:r w:rsidRPr="00FB1FE7">
              <w:rPr>
                <w:rFonts w:ascii="Verdana" w:hAnsi="Verdana" w:cs="Tahoma"/>
                <w:sz w:val="16"/>
                <w:szCs w:val="16"/>
                <w:lang w:val="es-ES_tradnl"/>
              </w:rPr>
              <w:t>La mayor parte de los plaguicidas no son solubles en el agua, por lo que no pasarán a la fase acuosa de la glicerina.</w:t>
            </w:r>
          </w:p>
        </w:tc>
      </w:tr>
      <w:tr w:rsidR="00993467" w:rsidRPr="00F508C9" w:rsidTr="000137B0">
        <w:tc>
          <w:tcPr>
            <w:tcW w:w="1668"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i/>
                <w:iCs/>
                <w:color w:val="0000FF"/>
                <w:sz w:val="16"/>
                <w:szCs w:val="16"/>
                <w:lang w:val="es-ES_tradnl"/>
              </w:rPr>
            </w:pPr>
            <w:r w:rsidRPr="00FB1FE7">
              <w:rPr>
                <w:rFonts w:ascii="Verdana" w:hAnsi="Verdana" w:cs="Tahoma"/>
                <w:b/>
                <w:bCs/>
                <w:sz w:val="16"/>
                <w:szCs w:val="16"/>
                <w:lang w:val="es-ES_tradnl"/>
              </w:rPr>
              <w:t>Residuos de los plaguicidas enumerados en la Directiva 2002/32/CE sobre sustancias indeseables en la alimentación animal.</w:t>
            </w:r>
          </w:p>
        </w:tc>
        <w:tc>
          <w:tcPr>
            <w:tcW w:w="863" w:type="dxa"/>
            <w:tcBorders>
              <w:top w:val="single" w:sz="4" w:space="0" w:color="auto"/>
              <w:bottom w:val="single" w:sz="4" w:space="0" w:color="auto"/>
            </w:tcBorders>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9"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Muy baja</w:t>
            </w:r>
          </w:p>
        </w:tc>
        <w:tc>
          <w:tcPr>
            <w:tcW w:w="1418" w:type="dxa"/>
            <w:tcBorders>
              <w:top w:val="single" w:sz="4" w:space="0" w:color="auto"/>
              <w:bottom w:val="single" w:sz="4" w:space="0" w:color="auto"/>
            </w:tcBorders>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993467" w:rsidP="00DC7AD5">
            <w:pPr>
              <w:rPr>
                <w:rFonts w:ascii="Verdana" w:hAnsi="Verdana" w:cs="Tahoma"/>
                <w:sz w:val="16"/>
                <w:szCs w:val="16"/>
                <w:lang w:val="es-ES_tradnl"/>
              </w:rPr>
            </w:pPr>
            <w:r w:rsidRPr="00FB1FE7">
              <w:rPr>
                <w:rFonts w:ascii="Verdana" w:hAnsi="Verdana" w:cs="Tahoma"/>
                <w:sz w:val="16"/>
                <w:szCs w:val="16"/>
                <w:lang w:val="es-ES_tradnl"/>
              </w:rPr>
              <w:t>Algunos de los plaguicidas prohibidos pueden estar presentes en el medio ambiente. Sin embargo, la probabilidad de encontrarlos en el aceite de soja en bruto es muy baja. En la soja está autorizado el uso de endosulfán. Los datos de seguimiento demuestran que su residuo en el aceite en bruto permanece dentro de los límites autorizados.</w:t>
            </w:r>
          </w:p>
        </w:tc>
        <w:tc>
          <w:tcPr>
            <w:tcW w:w="1985" w:type="dxa"/>
            <w:tcBorders>
              <w:top w:val="single" w:sz="4" w:space="0" w:color="auto"/>
              <w:bottom w:val="single" w:sz="4" w:space="0" w:color="auto"/>
            </w:tcBorders>
            <w:tcMar>
              <w:top w:w="85" w:type="dxa"/>
              <w:bottom w:w="85" w:type="dxa"/>
            </w:tcMar>
          </w:tcPr>
          <w:p w:rsidR="00993467" w:rsidRPr="00FB1FE7" w:rsidRDefault="00993467" w:rsidP="00C71A67">
            <w:pPr>
              <w:rPr>
                <w:rFonts w:ascii="Verdana" w:hAnsi="Verdana" w:cs="Tahoma"/>
                <w:sz w:val="16"/>
                <w:szCs w:val="16"/>
                <w:lang w:val="es-ES_tradnl"/>
              </w:rPr>
            </w:pPr>
            <w:r w:rsidRPr="00FB1FE7">
              <w:rPr>
                <w:rFonts w:ascii="Verdana" w:hAnsi="Verdana" w:cs="Tahoma"/>
                <w:sz w:val="16"/>
                <w:szCs w:val="16"/>
                <w:lang w:val="es-ES_tradnl"/>
              </w:rPr>
              <w:t>La Directiva 2002/32/CE define los límites aplicables a residuos de plaguicidas en los alimentos para animales.</w:t>
            </w: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i/>
                <w:iCs/>
                <w:color w:val="0000FF"/>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587768" w:rsidP="00BE596F">
            <w:pPr>
              <w:rPr>
                <w:rFonts w:ascii="Verdana" w:hAnsi="Verdana" w:cs="Tahoma"/>
                <w:sz w:val="16"/>
                <w:szCs w:val="16"/>
                <w:lang w:val="es-ES_tradnl"/>
              </w:rPr>
            </w:pPr>
            <w:r w:rsidRPr="00FB1FE7">
              <w:rPr>
                <w:rFonts w:ascii="Verdana" w:hAnsi="Verdana" w:cs="Tahoma"/>
                <w:sz w:val="16"/>
                <w:szCs w:val="16"/>
                <w:lang w:val="es-ES_tradnl"/>
              </w:rPr>
              <w:t>La mayor parte de los plaguicidas no son solubles en el agua, por lo que no pasarán a la fase acuosa de la glicerina.</w:t>
            </w:r>
          </w:p>
        </w:tc>
      </w:tr>
      <w:tr w:rsidR="00993467" w:rsidRPr="00FB1FE7" w:rsidTr="000137B0">
        <w:tc>
          <w:tcPr>
            <w:tcW w:w="1668"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microbiológica</w:t>
            </w:r>
          </w:p>
        </w:tc>
        <w:tc>
          <w:tcPr>
            <w:tcW w:w="863"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p>
        </w:tc>
        <w:tc>
          <w:tcPr>
            <w:tcW w:w="979"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top w:val="single" w:sz="4" w:space="0" w:color="auto"/>
              <w:bottom w:val="single" w:sz="4" w:space="0" w:color="auto"/>
            </w:tcBorders>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1985"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c>
          <w:tcPr>
            <w:tcW w:w="2551"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i/>
                <w:iCs/>
                <w:color w:val="0000FF"/>
                <w:sz w:val="16"/>
                <w:szCs w:val="16"/>
                <w:lang w:val="es-ES_tradnl"/>
              </w:rPr>
            </w:pPr>
            <w:r w:rsidRPr="00FB1FE7">
              <w:rPr>
                <w:rFonts w:ascii="Verdana" w:hAnsi="Verdana" w:cs="Tahoma"/>
                <w:sz w:val="16"/>
                <w:szCs w:val="16"/>
                <w:lang w:val="es-ES_tradnl"/>
              </w:rPr>
              <w:t>Plan de seguimiento.</w:t>
            </w:r>
          </w:p>
        </w:tc>
        <w:tc>
          <w:tcPr>
            <w:tcW w:w="2127" w:type="dxa"/>
            <w:tcBorders>
              <w:top w:val="single" w:sz="4" w:space="0" w:color="auto"/>
              <w:bottom w:val="single" w:sz="4" w:space="0" w:color="auto"/>
            </w:tcBorders>
            <w:tcMar>
              <w:top w:w="85" w:type="dxa"/>
              <w:bottom w:w="85" w:type="dxa"/>
            </w:tcMar>
          </w:tcPr>
          <w:p w:rsidR="00993467" w:rsidRPr="00FB1FE7" w:rsidRDefault="00993467" w:rsidP="00BE596F">
            <w:pPr>
              <w:rPr>
                <w:rFonts w:ascii="Verdana" w:hAnsi="Verdana" w:cs="Tahoma"/>
                <w:sz w:val="16"/>
                <w:szCs w:val="16"/>
                <w:lang w:val="es-ES_tradnl"/>
              </w:rPr>
            </w:pPr>
          </w:p>
        </w:tc>
      </w:tr>
    </w:tbl>
    <w:p w:rsidR="000137B0" w:rsidRPr="00FB1FE7" w:rsidRDefault="000137B0">
      <w:r w:rsidRPr="00FB1FE7">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70"/>
        <w:gridCol w:w="972"/>
        <w:gridCol w:w="1188"/>
        <w:gridCol w:w="939"/>
        <w:gridCol w:w="2835"/>
        <w:gridCol w:w="1559"/>
        <w:gridCol w:w="2551"/>
        <w:gridCol w:w="2127"/>
      </w:tblGrid>
      <w:tr w:rsidR="00C724B8" w:rsidRPr="00F508C9" w:rsidTr="00673F18">
        <w:tc>
          <w:tcPr>
            <w:tcW w:w="4698" w:type="dxa"/>
            <w:gridSpan w:val="4"/>
            <w:tcBorders>
              <w:bottom w:val="single" w:sz="4" w:space="0" w:color="auto"/>
            </w:tcBorders>
            <w:shd w:val="clear" w:color="auto" w:fill="0DA72A"/>
            <w:tcMar>
              <w:top w:w="57" w:type="dxa"/>
              <w:bottom w:w="57" w:type="dxa"/>
            </w:tcMar>
            <w:vAlign w:val="center"/>
          </w:tcPr>
          <w:p w:rsidR="00C724B8" w:rsidRPr="00FB1FE7" w:rsidRDefault="00E80F73" w:rsidP="00673F18">
            <w:pPr>
              <w:spacing w:before="20" w:after="20"/>
              <w:ind w:left="85" w:right="85"/>
              <w:rPr>
                <w:rFonts w:ascii="Verdana" w:hAnsi="Verdana"/>
                <w:b/>
                <w:color w:val="FFFFFF"/>
                <w:sz w:val="32"/>
                <w:szCs w:val="32"/>
                <w:lang w:val="es-ES_tradnl"/>
              </w:rPr>
            </w:pPr>
            <w:r w:rsidRPr="00FB1FE7">
              <w:rPr>
                <w:rFonts w:ascii="Verdana" w:hAnsi="Verdana"/>
                <w:b/>
                <w:color w:val="FFFFFF"/>
                <w:sz w:val="32"/>
                <w:szCs w:val="32"/>
                <w:lang w:val="es-ES_tradnl"/>
              </w:rPr>
              <w:lastRenderedPageBreak/>
              <w:t>8. Enfoque basado en el riesgo aplicado a la glicerina</w:t>
            </w:r>
          </w:p>
        </w:tc>
        <w:tc>
          <w:tcPr>
            <w:tcW w:w="10011" w:type="dxa"/>
            <w:gridSpan w:val="5"/>
            <w:tcBorders>
              <w:left w:val="nil"/>
              <w:bottom w:val="single" w:sz="4" w:space="0" w:color="auto"/>
            </w:tcBorders>
            <w:shd w:val="clear" w:color="auto" w:fill="0DA72A"/>
            <w:tcMar>
              <w:top w:w="57" w:type="dxa"/>
              <w:bottom w:w="57" w:type="dxa"/>
            </w:tcMar>
            <w:vAlign w:val="center"/>
          </w:tcPr>
          <w:p w:rsidR="00C724B8" w:rsidRPr="00FB1FE7" w:rsidRDefault="00C724B8" w:rsidP="00BE596F">
            <w:pPr>
              <w:rPr>
                <w:rFonts w:ascii="Verdana" w:hAnsi="Verdana" w:cs="Tahoma"/>
                <w:b/>
                <w:color w:val="FFFFFF"/>
                <w:sz w:val="28"/>
                <w:szCs w:val="28"/>
                <w:lang w:val="es-ES_tradnl"/>
              </w:rPr>
            </w:pPr>
            <w:r w:rsidRPr="00FB1FE7">
              <w:rPr>
                <w:rFonts w:ascii="Verdana" w:hAnsi="Verdana" w:cs="Tahoma"/>
                <w:b/>
                <w:color w:val="FFFFFF"/>
                <w:sz w:val="28"/>
                <w:szCs w:val="28"/>
                <w:lang w:val="es-ES_tradnl"/>
              </w:rPr>
              <w:t>3. Almacenamiento de los materiales entrantes</w:t>
            </w:r>
          </w:p>
        </w:tc>
      </w:tr>
      <w:tr w:rsidR="00993467" w:rsidRPr="00FB1FE7" w:rsidTr="00673F18">
        <w:tc>
          <w:tcPr>
            <w:tcW w:w="1668"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70"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972"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188"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39"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835"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1559"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w:t>
            </w:r>
          </w:p>
        </w:tc>
        <w:tc>
          <w:tcPr>
            <w:tcW w:w="2551"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2127" w:type="dxa"/>
            <w:tcBorders>
              <w:bottom w:val="single" w:sz="4" w:space="0" w:color="auto"/>
            </w:tcBorders>
            <w:shd w:val="clear" w:color="auto" w:fill="0DA72A"/>
            <w:tcMar>
              <w:top w:w="28" w:type="dxa"/>
              <w:bottom w:w="28" w:type="dxa"/>
            </w:tcMar>
            <w:vAlign w:val="center"/>
          </w:tcPr>
          <w:p w:rsidR="00993467" w:rsidRPr="00FB1FE7" w:rsidRDefault="00993467"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993467" w:rsidRPr="00F508C9" w:rsidTr="00673F18">
        <w:tc>
          <w:tcPr>
            <w:tcW w:w="1668" w:type="dxa"/>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con productos de limpieza</w:t>
            </w:r>
          </w:p>
        </w:tc>
        <w:tc>
          <w:tcPr>
            <w:tcW w:w="870" w:type="dxa"/>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2" w:type="dxa"/>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188" w:type="dxa"/>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Media</w:t>
            </w:r>
          </w:p>
        </w:tc>
        <w:tc>
          <w:tcPr>
            <w:tcW w:w="939" w:type="dxa"/>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w:t>
            </w:r>
            <w:r w:rsidR="00CE6A2B" w:rsidRPr="00FB1FE7">
              <w:rPr>
                <w:rFonts w:ascii="Verdana" w:hAnsi="Verdana" w:cs="Tahoma"/>
                <w:sz w:val="16"/>
                <w:szCs w:val="16"/>
                <w:lang w:val="es-ES_tradnl"/>
              </w:rPr>
              <w:t>3</w:t>
            </w:r>
          </w:p>
        </w:tc>
        <w:tc>
          <w:tcPr>
            <w:tcW w:w="2835" w:type="dxa"/>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Esta clasificación de riesgo se aplica a los terminales de carga que almacenan tanto productos químicos como aceites vegetales. Es posible que los operadores no estén utilizando productos de limpieza idóneos para su empleo en la industria alimentaria. El los terminales de carga de cisternas de la UE que aplican el sistema HACCP y que almacenan por separado los aceites vegetales y los productos químicos, la probabilidad de utilizar productos de limpieza inadecuados es muy baja.</w:t>
            </w:r>
          </w:p>
        </w:tc>
        <w:tc>
          <w:tcPr>
            <w:tcW w:w="1559" w:type="dxa"/>
            <w:tcMar>
              <w:top w:w="85" w:type="dxa"/>
              <w:bottom w:w="85" w:type="dxa"/>
            </w:tcMar>
          </w:tcPr>
          <w:p w:rsidR="00993467" w:rsidRPr="00FB1FE7" w:rsidRDefault="00993467" w:rsidP="00BE596F">
            <w:pPr>
              <w:rPr>
                <w:rFonts w:ascii="Verdana" w:hAnsi="Verdana" w:cs="Tahoma"/>
                <w:sz w:val="16"/>
                <w:szCs w:val="16"/>
                <w:lang w:val="es-ES_tradnl"/>
              </w:rPr>
            </w:pPr>
          </w:p>
        </w:tc>
        <w:tc>
          <w:tcPr>
            <w:tcW w:w="2551" w:type="dxa"/>
            <w:tcMar>
              <w:top w:w="85" w:type="dxa"/>
              <w:bottom w:w="85" w:type="dxa"/>
            </w:tcMar>
          </w:tcPr>
          <w:p w:rsidR="00480496" w:rsidRPr="00FB1FE7" w:rsidRDefault="00480496" w:rsidP="00BE596F">
            <w:pPr>
              <w:rPr>
                <w:rFonts w:ascii="Verdana" w:hAnsi="Verdana" w:cs="Tahoma"/>
                <w:sz w:val="16"/>
                <w:szCs w:val="16"/>
                <w:lang w:val="es-ES_tradnl"/>
              </w:rPr>
            </w:pPr>
            <w:r w:rsidRPr="00FB1FE7">
              <w:rPr>
                <w:rFonts w:ascii="Verdana" w:hAnsi="Verdana" w:cs="Tahoma"/>
                <w:sz w:val="16"/>
                <w:szCs w:val="16"/>
                <w:lang w:val="es-ES_tradnl"/>
              </w:rPr>
              <w:t>Los productos de limpieza utilizados deberán evaluarse, adoptando las medidas apropiadas para reducir el riesgo hasta un nivel aceptable.</w:t>
            </w:r>
          </w:p>
        </w:tc>
        <w:tc>
          <w:tcPr>
            <w:tcW w:w="2127" w:type="dxa"/>
            <w:tcMar>
              <w:top w:w="85" w:type="dxa"/>
              <w:bottom w:w="85" w:type="dxa"/>
            </w:tcMar>
          </w:tcPr>
          <w:p w:rsidR="00993467" w:rsidRPr="00FB1FE7" w:rsidRDefault="00993467" w:rsidP="00BE596F">
            <w:pPr>
              <w:rPr>
                <w:rFonts w:ascii="Verdana" w:hAnsi="Verdana" w:cs="Tahoma"/>
                <w:sz w:val="16"/>
                <w:szCs w:val="16"/>
                <w:lang w:val="es-ES_tradnl"/>
              </w:rPr>
            </w:pPr>
          </w:p>
        </w:tc>
      </w:tr>
      <w:tr w:rsidR="00993467" w:rsidRPr="00F508C9" w:rsidTr="00673F18">
        <w:tc>
          <w:tcPr>
            <w:tcW w:w="1668" w:type="dxa"/>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Fluidos térmicos para calefacción procedentes de equipos averiados</w:t>
            </w:r>
          </w:p>
        </w:tc>
        <w:tc>
          <w:tcPr>
            <w:tcW w:w="870" w:type="dxa"/>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2" w:type="dxa"/>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188" w:type="dxa"/>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39" w:type="dxa"/>
            <w:shd w:val="clear" w:color="auto" w:fill="FFC000"/>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835" w:type="dxa"/>
            <w:tcMar>
              <w:top w:w="85" w:type="dxa"/>
              <w:bottom w:w="85" w:type="dxa"/>
            </w:tcMar>
          </w:tcPr>
          <w:p w:rsidR="00993467" w:rsidRPr="00FB1FE7" w:rsidRDefault="00993467" w:rsidP="00C71A67">
            <w:pPr>
              <w:rPr>
                <w:rFonts w:ascii="Verdana" w:hAnsi="Verdana" w:cs="Tahoma"/>
                <w:sz w:val="16"/>
                <w:szCs w:val="16"/>
                <w:lang w:val="es-ES_tradnl"/>
              </w:rPr>
            </w:pPr>
            <w:r w:rsidRPr="00FB1FE7">
              <w:rPr>
                <w:rFonts w:ascii="Verdana" w:hAnsi="Verdana" w:cs="Tahoma"/>
                <w:sz w:val="16"/>
                <w:szCs w:val="16"/>
                <w:lang w:val="es-ES_tradnl"/>
              </w:rPr>
              <w:t xml:space="preserve">Es posible que todavía se estén utilizando fluidos térmicos para calefacción con propiedades tóxicas. Sin embargo, debido a las temperaturas relativamente bajas aplicadas durante el almacenamiento, la probabilidad </w:t>
            </w:r>
            <w:r w:rsidR="00C71A67" w:rsidRPr="00FB1FE7">
              <w:rPr>
                <w:rFonts w:ascii="Verdana" w:hAnsi="Verdana" w:cs="Tahoma"/>
                <w:sz w:val="16"/>
                <w:szCs w:val="16"/>
                <w:lang w:val="es-ES_tradnl"/>
              </w:rPr>
              <w:t xml:space="preserve">de que haya </w:t>
            </w:r>
            <w:r w:rsidRPr="00FB1FE7">
              <w:rPr>
                <w:rFonts w:ascii="Verdana" w:hAnsi="Verdana" w:cs="Tahoma"/>
                <w:sz w:val="16"/>
                <w:szCs w:val="16"/>
                <w:lang w:val="es-ES_tradnl"/>
              </w:rPr>
              <w:t>filtraciones en el producto de fluidos térmicos para calefacción es baja.</w:t>
            </w:r>
          </w:p>
        </w:tc>
        <w:tc>
          <w:tcPr>
            <w:tcW w:w="1559" w:type="dxa"/>
            <w:tcMar>
              <w:top w:w="85" w:type="dxa"/>
              <w:bottom w:w="85" w:type="dxa"/>
            </w:tcMar>
          </w:tcPr>
          <w:p w:rsidR="00993467" w:rsidRPr="00FB1FE7" w:rsidRDefault="00993467" w:rsidP="00BE596F">
            <w:pPr>
              <w:rPr>
                <w:rFonts w:ascii="Verdana" w:hAnsi="Verdana" w:cs="Tahoma"/>
                <w:sz w:val="16"/>
                <w:szCs w:val="16"/>
                <w:lang w:val="es-ES_tradnl"/>
              </w:rPr>
            </w:pPr>
          </w:p>
        </w:tc>
        <w:tc>
          <w:tcPr>
            <w:tcW w:w="2551" w:type="dxa"/>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 xml:space="preserve">Registro de las pérdidas netas y realización de los análisis pertinentes en caso necesario. </w:t>
            </w:r>
          </w:p>
        </w:tc>
        <w:tc>
          <w:tcPr>
            <w:tcW w:w="2127" w:type="dxa"/>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Se recomienda la utilización de agua o vapor. Los fluidos térmicos para calefacción no son de uso común.</w:t>
            </w:r>
          </w:p>
        </w:tc>
      </w:tr>
      <w:tr w:rsidR="00993467" w:rsidRPr="00FB1FE7" w:rsidTr="00673F18">
        <w:tc>
          <w:tcPr>
            <w:tcW w:w="1668" w:type="dxa"/>
            <w:tcMar>
              <w:top w:w="85" w:type="dxa"/>
              <w:bottom w:w="85" w:type="dxa"/>
            </w:tcMar>
          </w:tcPr>
          <w:p w:rsidR="00993467" w:rsidRPr="00FB1FE7" w:rsidRDefault="00993467"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cruzada</w:t>
            </w:r>
          </w:p>
        </w:tc>
        <w:tc>
          <w:tcPr>
            <w:tcW w:w="870" w:type="dxa"/>
            <w:tcMar>
              <w:top w:w="85" w:type="dxa"/>
              <w:bottom w:w="85" w:type="dxa"/>
            </w:tcMar>
          </w:tcPr>
          <w:p w:rsidR="00993467"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2" w:type="dxa"/>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188" w:type="dxa"/>
            <w:tcMar>
              <w:top w:w="85" w:type="dxa"/>
              <w:bottom w:w="85" w:type="dxa"/>
            </w:tcMar>
          </w:tcPr>
          <w:p w:rsidR="00993467"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39" w:type="dxa"/>
            <w:tcMar>
              <w:top w:w="85" w:type="dxa"/>
              <w:bottom w:w="85" w:type="dxa"/>
            </w:tcMar>
          </w:tcPr>
          <w:p w:rsidR="00993467" w:rsidRPr="00FB1FE7" w:rsidRDefault="00993467"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835" w:type="dxa"/>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 xml:space="preserve">Las fuentes de riesgo incluyen el mal funcionamiento de los equipos y los accidentes causados por el operador. La probabilidad de ocurrencia es extremadamente baja. </w:t>
            </w:r>
          </w:p>
          <w:p w:rsidR="00993467" w:rsidRPr="00FB1FE7" w:rsidRDefault="00993467" w:rsidP="00BE596F">
            <w:pPr>
              <w:autoSpaceDE w:val="0"/>
              <w:autoSpaceDN w:val="0"/>
              <w:adjustRightInd w:val="0"/>
              <w:rPr>
                <w:rFonts w:ascii="Verdana" w:hAnsi="Verdana" w:cs="Tahoma"/>
                <w:sz w:val="16"/>
                <w:szCs w:val="16"/>
                <w:lang w:val="es-ES_tradnl" w:eastAsia="fr-BE"/>
              </w:rPr>
            </w:pPr>
            <w:r w:rsidRPr="00FB1FE7">
              <w:rPr>
                <w:rFonts w:ascii="Verdana" w:hAnsi="Verdana" w:cs="Tahoma"/>
                <w:sz w:val="16"/>
                <w:szCs w:val="16"/>
                <w:lang w:val="es-ES_tradnl" w:eastAsia="fr-BE"/>
              </w:rPr>
              <w:t>Entre las medidas preventivas adoptadas para reducir el impacto se incluyen</w:t>
            </w:r>
          </w:p>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eastAsia="fr-BE"/>
              </w:rPr>
              <w:t xml:space="preserve">los mecanismos de seguridad </w:t>
            </w:r>
            <w:r w:rsidRPr="00FB1FE7">
              <w:rPr>
                <w:rFonts w:ascii="Verdana" w:hAnsi="Verdana" w:cs="Tahoma"/>
                <w:sz w:val="16"/>
                <w:szCs w:val="16"/>
                <w:lang w:val="es-ES_tradnl" w:eastAsia="fr-BE"/>
              </w:rPr>
              <w:lastRenderedPageBreak/>
              <w:t>automatizados, la contención de derrames, la seguridad de los locales y el acceso restringido a estos.</w:t>
            </w:r>
          </w:p>
        </w:tc>
        <w:tc>
          <w:tcPr>
            <w:tcW w:w="1559" w:type="dxa"/>
            <w:tcMar>
              <w:top w:w="85" w:type="dxa"/>
              <w:bottom w:w="85" w:type="dxa"/>
            </w:tcMar>
          </w:tcPr>
          <w:p w:rsidR="00993467" w:rsidRPr="00FB1FE7" w:rsidRDefault="00993467" w:rsidP="00BE596F">
            <w:pPr>
              <w:rPr>
                <w:rFonts w:ascii="Verdana" w:hAnsi="Verdana" w:cs="Tahoma"/>
                <w:sz w:val="16"/>
                <w:szCs w:val="16"/>
                <w:lang w:val="es-ES_tradnl"/>
              </w:rPr>
            </w:pPr>
          </w:p>
        </w:tc>
        <w:tc>
          <w:tcPr>
            <w:tcW w:w="2551" w:type="dxa"/>
            <w:tcMar>
              <w:top w:w="85" w:type="dxa"/>
              <w:bottom w:w="85" w:type="dxa"/>
            </w:tcMar>
          </w:tcPr>
          <w:p w:rsidR="00993467" w:rsidRPr="00FB1FE7" w:rsidRDefault="00993467" w:rsidP="00BE596F">
            <w:pPr>
              <w:rPr>
                <w:rFonts w:ascii="Verdana" w:hAnsi="Verdana" w:cs="Tahoma"/>
                <w:sz w:val="16"/>
                <w:szCs w:val="16"/>
                <w:lang w:val="es-ES_tradnl"/>
              </w:rPr>
            </w:pPr>
            <w:r w:rsidRPr="00FB1FE7">
              <w:rPr>
                <w:rFonts w:ascii="Verdana" w:hAnsi="Verdana" w:cs="Tahoma"/>
                <w:sz w:val="16"/>
                <w:szCs w:val="16"/>
                <w:lang w:val="es-ES_tradnl"/>
              </w:rPr>
              <w:t>Se ha implantado un procedimiento relativo al almacenaje.</w:t>
            </w:r>
          </w:p>
        </w:tc>
        <w:tc>
          <w:tcPr>
            <w:tcW w:w="2127" w:type="dxa"/>
            <w:tcMar>
              <w:top w:w="85" w:type="dxa"/>
              <w:bottom w:w="85" w:type="dxa"/>
            </w:tcMar>
          </w:tcPr>
          <w:p w:rsidR="00993467" w:rsidRPr="00FB1FE7" w:rsidRDefault="00993467" w:rsidP="00BE596F">
            <w:pPr>
              <w:rPr>
                <w:rFonts w:ascii="Verdana" w:hAnsi="Verdana" w:cs="Tahoma"/>
                <w:sz w:val="16"/>
                <w:szCs w:val="16"/>
                <w:lang w:val="es-ES_tradnl"/>
              </w:rPr>
            </w:pPr>
          </w:p>
        </w:tc>
      </w:tr>
    </w:tbl>
    <w:p w:rsidR="00E33DAE" w:rsidRPr="00FB1FE7" w:rsidRDefault="00DB5BD0" w:rsidP="00BE596F">
      <w:pPr>
        <w:pStyle w:val="Heading1"/>
        <w:numPr>
          <w:ilvl w:val="0"/>
          <w:numId w:val="0"/>
        </w:numPr>
        <w:ind w:left="432"/>
        <w:rPr>
          <w:rFonts w:ascii="Verdana" w:hAnsi="Verdana" w:cs="Tahoma"/>
          <w:sz w:val="14"/>
          <w:szCs w:val="14"/>
          <w:lang w:val="es-ES_tradnl"/>
        </w:rPr>
      </w:pPr>
      <w:r w:rsidRPr="00FB1FE7">
        <w:rPr>
          <w:rFonts w:ascii="Verdana" w:hAnsi="Verdana" w:cs="Tahoma"/>
          <w:sz w:val="14"/>
          <w:szCs w:val="14"/>
          <w:lang w:val="es-ES_tradnl"/>
        </w:rPr>
        <w:lastRenderedPageBreak/>
        <w:br w:type="page"/>
      </w:r>
    </w:p>
    <w:p w:rsidR="004E54A8" w:rsidRPr="00FB1FE7" w:rsidRDefault="004E54A8" w:rsidP="00BE596F">
      <w:pPr>
        <w:rPr>
          <w:rFonts w:ascii="Verdana" w:hAnsi="Verdana" w:cs="Tahoma"/>
          <w:sz w:val="14"/>
          <w:szCs w:val="14"/>
          <w:lang w:val="es-ES_tradnl"/>
        </w:rPr>
      </w:pPr>
    </w:p>
    <w:p w:rsidR="004E54A8" w:rsidRPr="00FB1FE7" w:rsidRDefault="004E54A8" w:rsidP="00BE596F">
      <w:pPr>
        <w:rPr>
          <w:rFonts w:ascii="Verdana" w:hAnsi="Verdana" w:cs="Tahoma"/>
          <w:sz w:val="14"/>
          <w:szCs w:val="14"/>
          <w:lang w:val="es-ES_trad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24"/>
        <w:gridCol w:w="877"/>
        <w:gridCol w:w="1417"/>
        <w:gridCol w:w="992"/>
        <w:gridCol w:w="2383"/>
        <w:gridCol w:w="1870"/>
        <w:gridCol w:w="2551"/>
        <w:gridCol w:w="2127"/>
      </w:tblGrid>
      <w:tr w:rsidR="00C724B8" w:rsidRPr="00F508C9" w:rsidTr="00673F18">
        <w:tc>
          <w:tcPr>
            <w:tcW w:w="4786" w:type="dxa"/>
            <w:gridSpan w:val="4"/>
            <w:tcBorders>
              <w:bottom w:val="single" w:sz="4" w:space="0" w:color="auto"/>
            </w:tcBorders>
            <w:shd w:val="clear" w:color="auto" w:fill="0DA72A"/>
            <w:tcMar>
              <w:top w:w="57" w:type="dxa"/>
              <w:bottom w:w="57" w:type="dxa"/>
            </w:tcMar>
            <w:vAlign w:val="center"/>
          </w:tcPr>
          <w:p w:rsidR="00C724B8" w:rsidRPr="00FB1FE7" w:rsidRDefault="00E80F73" w:rsidP="00673F18">
            <w:pPr>
              <w:spacing w:before="20" w:after="20"/>
              <w:ind w:left="85" w:right="85"/>
              <w:rPr>
                <w:rFonts w:ascii="Verdana" w:hAnsi="Verdana"/>
                <w:b/>
                <w:color w:val="FFFFFF"/>
                <w:sz w:val="32"/>
                <w:szCs w:val="32"/>
                <w:lang w:val="es-ES_tradnl"/>
              </w:rPr>
            </w:pPr>
            <w:r w:rsidRPr="00FB1FE7">
              <w:rPr>
                <w:rFonts w:ascii="Verdana" w:hAnsi="Verdana"/>
                <w:b/>
                <w:color w:val="FFFFFF"/>
                <w:sz w:val="32"/>
                <w:szCs w:val="32"/>
                <w:lang w:val="es-ES_tradnl"/>
              </w:rPr>
              <w:t>8. Enfoque basado en el riesgo aplicado a la glicerina</w:t>
            </w:r>
          </w:p>
        </w:tc>
        <w:tc>
          <w:tcPr>
            <w:tcW w:w="9923" w:type="dxa"/>
            <w:gridSpan w:val="5"/>
            <w:tcBorders>
              <w:left w:val="nil"/>
              <w:bottom w:val="single" w:sz="4" w:space="0" w:color="auto"/>
            </w:tcBorders>
            <w:shd w:val="clear" w:color="auto" w:fill="0DA72A"/>
            <w:tcMar>
              <w:top w:w="57" w:type="dxa"/>
              <w:bottom w:w="57" w:type="dxa"/>
            </w:tcMar>
            <w:vAlign w:val="center"/>
          </w:tcPr>
          <w:p w:rsidR="00C724B8" w:rsidRPr="00FB1FE7" w:rsidRDefault="00C724B8" w:rsidP="00BE596F">
            <w:pPr>
              <w:rPr>
                <w:rFonts w:ascii="Verdana" w:hAnsi="Verdana" w:cs="Tahoma"/>
                <w:b/>
                <w:color w:val="FFFFFF"/>
                <w:sz w:val="28"/>
                <w:szCs w:val="28"/>
                <w:lang w:val="es-ES_tradnl"/>
              </w:rPr>
            </w:pPr>
            <w:r w:rsidRPr="00FB1FE7">
              <w:rPr>
                <w:rFonts w:ascii="Verdana" w:hAnsi="Verdana" w:cs="Tahoma"/>
                <w:b/>
                <w:color w:val="FFFFFF"/>
                <w:sz w:val="28"/>
                <w:szCs w:val="28"/>
                <w:lang w:val="es-ES_tradnl"/>
              </w:rPr>
              <w:t>4. Fase 1 de 3 – Transesterificación (fase de reacción)</w:t>
            </w:r>
          </w:p>
        </w:tc>
      </w:tr>
      <w:tr w:rsidR="00B86C6B" w:rsidRPr="00FB1FE7" w:rsidTr="000137B0">
        <w:tc>
          <w:tcPr>
            <w:tcW w:w="166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24"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877"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417"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CLASIFICACIÓN DEL RIESGO</w:t>
            </w:r>
          </w:p>
        </w:tc>
        <w:tc>
          <w:tcPr>
            <w:tcW w:w="2383"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1870"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w:t>
            </w:r>
          </w:p>
        </w:tc>
        <w:tc>
          <w:tcPr>
            <w:tcW w:w="2551"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2127"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B86C6B" w:rsidRPr="00F508C9" w:rsidTr="000137B0">
        <w:tc>
          <w:tcPr>
            <w:tcW w:w="1668" w:type="dxa"/>
            <w:tcBorders>
              <w:bottom w:val="single" w:sz="4" w:space="0" w:color="auto"/>
            </w:tcBorders>
            <w:tcMar>
              <w:top w:w="85" w:type="dxa"/>
              <w:bottom w:w="85" w:type="dxa"/>
            </w:tcMar>
          </w:tcPr>
          <w:p w:rsidR="00B86C6B" w:rsidRPr="00FB1FE7" w:rsidRDefault="00AB5105" w:rsidP="00BE596F">
            <w:pPr>
              <w:rPr>
                <w:rFonts w:ascii="Verdana" w:hAnsi="Verdana" w:cs="Tahoma"/>
                <w:b/>
                <w:bCs/>
                <w:sz w:val="16"/>
                <w:szCs w:val="16"/>
                <w:lang w:val="es-ES_tradnl"/>
              </w:rPr>
            </w:pPr>
            <w:r w:rsidRPr="00FB1FE7">
              <w:rPr>
                <w:rFonts w:ascii="Verdana" w:hAnsi="Verdana" w:cs="Tahoma"/>
                <w:b/>
                <w:bCs/>
                <w:sz w:val="16"/>
                <w:szCs w:val="16"/>
                <w:lang w:val="es-ES_tradnl"/>
              </w:rPr>
              <w:t>Contaminantes en los coadyuvantes tecnológicos</w:t>
            </w:r>
            <w:r w:rsidR="00673F18" w:rsidRPr="00FB1FE7">
              <w:rPr>
                <w:rFonts w:ascii="Verdana" w:hAnsi="Verdana" w:cs="Tahoma"/>
                <w:b/>
                <w:bCs/>
                <w:sz w:val="16"/>
                <w:szCs w:val="16"/>
                <w:lang w:val="es-ES_tradnl"/>
              </w:rPr>
              <w:t xml:space="preserve"> </w:t>
            </w:r>
          </w:p>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(soluciones alcalinas, ácidos)</w:t>
            </w:r>
          </w:p>
        </w:tc>
        <w:tc>
          <w:tcPr>
            <w:tcW w:w="824" w:type="dxa"/>
            <w:tcBorders>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877"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Baja</w:t>
            </w:r>
          </w:p>
        </w:tc>
        <w:tc>
          <w:tcPr>
            <w:tcW w:w="1417" w:type="dxa"/>
            <w:tcBorders>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bottom w:val="single" w:sz="4" w:space="0" w:color="auto"/>
            </w:tcBorders>
            <w:shd w:val="clear" w:color="auto" w:fill="auto"/>
            <w:tcMar>
              <w:top w:w="85" w:type="dxa"/>
              <w:bottom w:w="85" w:type="dxa"/>
            </w:tcMar>
          </w:tcPr>
          <w:p w:rsidR="00B86C6B" w:rsidRPr="00FB1FE7" w:rsidRDefault="00CE6A2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2 </w:t>
            </w:r>
          </w:p>
        </w:tc>
        <w:tc>
          <w:tcPr>
            <w:tcW w:w="2383"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Los coadyuvantes tecnológicos entran en contacto con el producto.</w:t>
            </w:r>
          </w:p>
        </w:tc>
        <w:tc>
          <w:tcPr>
            <w:tcW w:w="1870" w:type="dxa"/>
            <w:tcBorders>
              <w:bottom w:val="single" w:sz="4" w:space="0" w:color="auto"/>
            </w:tcBorders>
            <w:tcMar>
              <w:top w:w="85" w:type="dxa"/>
              <w:bottom w:w="85" w:type="dxa"/>
            </w:tcMar>
          </w:tcPr>
          <w:p w:rsidR="00B86C6B" w:rsidRPr="00FB1FE7" w:rsidRDefault="00CB6F5D" w:rsidP="000137B0">
            <w:pPr>
              <w:rPr>
                <w:rFonts w:ascii="Verdana" w:hAnsi="Verdana" w:cs="Tahoma"/>
                <w:sz w:val="16"/>
                <w:szCs w:val="16"/>
                <w:lang w:val="es-ES_tradnl"/>
              </w:rPr>
            </w:pPr>
            <w:r w:rsidRPr="00FB1FE7">
              <w:rPr>
                <w:rFonts w:ascii="Verdana" w:hAnsi="Verdana"/>
                <w:sz w:val="16"/>
                <w:szCs w:val="16"/>
                <w:lang w:val="es-ES_tradnl"/>
              </w:rPr>
              <w:t>Reglamento (UE) nº</w:t>
            </w:r>
            <w:r w:rsidR="000137B0" w:rsidRPr="00FB1FE7">
              <w:rPr>
                <w:rFonts w:ascii="Verdana" w:hAnsi="Verdana"/>
                <w:sz w:val="16"/>
                <w:szCs w:val="16"/>
                <w:lang w:val="es-ES_tradnl"/>
              </w:rPr>
              <w:t> </w:t>
            </w:r>
            <w:r w:rsidRPr="00FB1FE7">
              <w:rPr>
                <w:rFonts w:ascii="Verdana" w:hAnsi="Verdana"/>
                <w:sz w:val="16"/>
                <w:szCs w:val="16"/>
                <w:lang w:val="es-ES_tradnl"/>
              </w:rPr>
              <w:t>68/2013 relativo al Catálogo de materias primas para piensos.</w:t>
            </w:r>
          </w:p>
        </w:tc>
        <w:tc>
          <w:tcPr>
            <w:tcW w:w="2551"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 xml:space="preserve">Los coadyuvantes tecnológicos que entren en contacto directo con el aceite deberán evaluarse, adoptando las medidas oportunas para reducir el riesgo hasta un nivel aceptable. </w:t>
            </w:r>
          </w:p>
          <w:p w:rsidR="00B86C6B" w:rsidRPr="00FB1FE7" w:rsidRDefault="00B86C6B" w:rsidP="00BE596F">
            <w:pPr>
              <w:rPr>
                <w:rFonts w:ascii="Verdana" w:hAnsi="Verdana" w:cs="Tahoma"/>
                <w:sz w:val="16"/>
                <w:szCs w:val="16"/>
                <w:lang w:val="es-ES_tradnl"/>
              </w:rPr>
            </w:pPr>
          </w:p>
          <w:p w:rsidR="00B86C6B" w:rsidRPr="00FB1FE7" w:rsidRDefault="001062E6" w:rsidP="00BE596F">
            <w:pPr>
              <w:rPr>
                <w:rFonts w:ascii="Verdana" w:hAnsi="Verdana" w:cs="Tahoma"/>
                <w:sz w:val="16"/>
                <w:szCs w:val="16"/>
                <w:lang w:val="es-ES_tradnl"/>
              </w:rPr>
            </w:pPr>
            <w:r w:rsidRPr="00FB1FE7">
              <w:rPr>
                <w:rFonts w:ascii="Verdana" w:hAnsi="Verdana" w:cs="Tahoma"/>
                <w:iCs/>
                <w:sz w:val="16"/>
                <w:szCs w:val="16"/>
                <w:lang w:val="es-ES_tradnl"/>
              </w:rPr>
              <w:t>Seguimiento en línea del proceso, etiquetado correcto de los envases que contengan productos químicos.</w:t>
            </w:r>
          </w:p>
        </w:tc>
        <w:tc>
          <w:tcPr>
            <w:tcW w:w="2127"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0137B0">
        <w:tc>
          <w:tcPr>
            <w:tcW w:w="1668" w:type="dxa"/>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causada durante la adición de</w:t>
            </w:r>
            <w:r w:rsidR="00B702B6">
              <w:rPr>
                <w:rFonts w:ascii="Verdana" w:hAnsi="Verdana" w:cs="Tahoma"/>
                <w:b/>
                <w:bCs/>
                <w:sz w:val="16"/>
                <w:szCs w:val="16"/>
                <w:lang w:val="es-ES_tradnl"/>
              </w:rPr>
              <w:t xml:space="preserve"> </w:t>
            </w:r>
            <w:r w:rsidRPr="00FB1FE7">
              <w:rPr>
                <w:rFonts w:ascii="Verdana" w:hAnsi="Verdana" w:cs="Tahoma"/>
                <w:b/>
                <w:bCs/>
                <w:sz w:val="16"/>
                <w:szCs w:val="16"/>
                <w:lang w:val="es-ES_tradnl"/>
              </w:rPr>
              <w:t>metanol</w:t>
            </w:r>
          </w:p>
          <w:p w:rsidR="00B86C6B" w:rsidRPr="00FB1FE7" w:rsidRDefault="00B86C6B" w:rsidP="00BE596F">
            <w:pPr>
              <w:rPr>
                <w:rFonts w:ascii="Verdana" w:hAnsi="Verdana" w:cs="Tahoma"/>
                <w:b/>
                <w:bCs/>
                <w:sz w:val="16"/>
                <w:szCs w:val="16"/>
                <w:lang w:val="es-ES_tradnl"/>
              </w:rPr>
            </w:pPr>
          </w:p>
        </w:tc>
        <w:tc>
          <w:tcPr>
            <w:tcW w:w="824" w:type="dxa"/>
            <w:tcMar>
              <w:top w:w="85" w:type="dxa"/>
              <w:bottom w:w="85" w:type="dxa"/>
            </w:tcMar>
          </w:tcPr>
          <w:p w:rsidR="00B86C6B" w:rsidRPr="00FB1FE7" w:rsidRDefault="00B86C6B" w:rsidP="00BE596F">
            <w:pPr>
              <w:jc w:val="center"/>
              <w:rPr>
                <w:rFonts w:ascii="Verdana" w:hAnsi="Verdana" w:cs="Tahoma"/>
                <w:sz w:val="16"/>
                <w:szCs w:val="16"/>
                <w:lang w:val="es-ES_tradnl"/>
              </w:rPr>
            </w:pPr>
          </w:p>
        </w:tc>
        <w:tc>
          <w:tcPr>
            <w:tcW w:w="877" w:type="dxa"/>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7" w:type="dxa"/>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383" w:type="dxa"/>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Sustancias indeseables en el metanol.</w:t>
            </w:r>
          </w:p>
        </w:tc>
        <w:tc>
          <w:tcPr>
            <w:tcW w:w="1870" w:type="dxa"/>
            <w:tcMar>
              <w:top w:w="85" w:type="dxa"/>
              <w:bottom w:w="85" w:type="dxa"/>
            </w:tcMar>
          </w:tcPr>
          <w:p w:rsidR="00B86C6B" w:rsidRPr="00FB1FE7" w:rsidRDefault="00B86C6B" w:rsidP="00BE596F">
            <w:pPr>
              <w:rPr>
                <w:rFonts w:ascii="Verdana" w:hAnsi="Verdana" w:cs="Tahoma"/>
                <w:sz w:val="16"/>
                <w:szCs w:val="16"/>
                <w:lang w:val="es-ES_tradnl"/>
              </w:rPr>
            </w:pPr>
          </w:p>
        </w:tc>
        <w:tc>
          <w:tcPr>
            <w:tcW w:w="2551" w:type="dxa"/>
            <w:tcMar>
              <w:top w:w="85" w:type="dxa"/>
              <w:bottom w:w="85" w:type="dxa"/>
            </w:tcMar>
          </w:tcPr>
          <w:p w:rsidR="00B86C6B" w:rsidRPr="00FB1FE7" w:rsidRDefault="00B86C6B" w:rsidP="00BE596F">
            <w:pPr>
              <w:rPr>
                <w:rFonts w:ascii="Verdana" w:hAnsi="Verdana" w:cs="Tahoma"/>
                <w:iCs/>
                <w:sz w:val="16"/>
                <w:szCs w:val="16"/>
                <w:lang w:val="es-ES_tradnl"/>
              </w:rPr>
            </w:pPr>
            <w:r w:rsidRPr="00FB1FE7">
              <w:rPr>
                <w:rFonts w:ascii="Verdana" w:hAnsi="Verdana" w:cs="Tahoma"/>
                <w:iCs/>
                <w:sz w:val="16"/>
                <w:szCs w:val="16"/>
                <w:lang w:val="es-ES_tradnl"/>
              </w:rPr>
              <w:t xml:space="preserve">Utilizar metanol de la calidad adecuada. </w:t>
            </w:r>
          </w:p>
          <w:p w:rsidR="00B86C6B" w:rsidRPr="00FB1FE7" w:rsidRDefault="00B86C6B" w:rsidP="00BE596F">
            <w:pPr>
              <w:rPr>
                <w:rFonts w:ascii="Verdana" w:hAnsi="Verdana" w:cs="Tahoma"/>
                <w:iCs/>
                <w:sz w:val="16"/>
                <w:szCs w:val="16"/>
                <w:lang w:val="es-ES_tradnl"/>
              </w:rPr>
            </w:pPr>
          </w:p>
          <w:p w:rsidR="00B86C6B" w:rsidRPr="00FB1FE7" w:rsidRDefault="00B86C6B" w:rsidP="00BE596F">
            <w:pPr>
              <w:rPr>
                <w:rFonts w:ascii="Verdana" w:hAnsi="Verdana" w:cs="Tahoma"/>
                <w:iCs/>
                <w:sz w:val="16"/>
                <w:szCs w:val="16"/>
                <w:lang w:val="es-ES_tradnl"/>
              </w:rPr>
            </w:pPr>
            <w:r w:rsidRPr="00FB1FE7">
              <w:rPr>
                <w:rFonts w:ascii="Verdana" w:hAnsi="Verdana" w:cs="Tahoma"/>
                <w:iCs/>
                <w:sz w:val="16"/>
                <w:szCs w:val="16"/>
                <w:lang w:val="es-ES_tradnl"/>
              </w:rPr>
              <w:t>Descripción en las especificaciones del contrato.</w:t>
            </w:r>
          </w:p>
          <w:p w:rsidR="00B86C6B" w:rsidRPr="00FB1FE7" w:rsidRDefault="00B86C6B" w:rsidP="00BE596F">
            <w:pPr>
              <w:rPr>
                <w:rFonts w:ascii="Verdana" w:hAnsi="Verdana" w:cs="Tahoma"/>
                <w:iCs/>
                <w:sz w:val="16"/>
                <w:szCs w:val="16"/>
                <w:lang w:val="es-ES_tradnl"/>
              </w:rPr>
            </w:pPr>
          </w:p>
          <w:p w:rsidR="00B86C6B" w:rsidRPr="00FB1FE7" w:rsidRDefault="00B86C6B" w:rsidP="00BE596F">
            <w:pPr>
              <w:rPr>
                <w:rFonts w:ascii="Verdana" w:hAnsi="Verdana" w:cs="Tahoma"/>
                <w:iCs/>
                <w:sz w:val="16"/>
                <w:szCs w:val="16"/>
                <w:lang w:val="es-ES_tradnl"/>
              </w:rPr>
            </w:pPr>
            <w:r w:rsidRPr="00FB1FE7">
              <w:rPr>
                <w:rFonts w:ascii="Verdana" w:hAnsi="Verdana" w:cs="Tahoma"/>
                <w:iCs/>
                <w:sz w:val="16"/>
                <w:szCs w:val="16"/>
                <w:lang w:val="es-ES_tradnl"/>
              </w:rPr>
              <w:t>Seguimiento en línea del proceso, etiquetado correcto de los envases que contengan productos químicos.</w:t>
            </w:r>
          </w:p>
        </w:tc>
        <w:tc>
          <w:tcPr>
            <w:tcW w:w="2127" w:type="dxa"/>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En las operaciones a escala muy pequeña,</w:t>
            </w:r>
            <w:r w:rsidRPr="00FB1FE7">
              <w:rPr>
                <w:rFonts w:ascii="Verdana" w:hAnsi="Verdana" w:cs="Tahoma"/>
                <w:sz w:val="16"/>
                <w:szCs w:val="16"/>
                <w:lang w:val="es-ES_tradnl"/>
              </w:rPr>
              <w:br/>
              <w:t>la manipulación de las sustancias químicas peligrosas puede exponer al operador a un riesgo mayor</w:t>
            </w:r>
            <w:r w:rsidRPr="00FB1FE7">
              <w:rPr>
                <w:rFonts w:ascii="Verdana" w:hAnsi="Verdana" w:cs="Tahoma"/>
                <w:sz w:val="16"/>
                <w:szCs w:val="16"/>
                <w:lang w:val="es-ES_tradnl"/>
              </w:rPr>
              <w:br/>
              <w:t>cuando dichas sustancias se transportan a mano para su utilización en procesos por lotes, en vez de</w:t>
            </w:r>
            <w:r w:rsidRPr="00FB1FE7">
              <w:rPr>
                <w:rFonts w:ascii="Verdana" w:hAnsi="Verdana" w:cs="Tahoma"/>
                <w:sz w:val="16"/>
                <w:szCs w:val="16"/>
                <w:lang w:val="es-ES_tradnl"/>
              </w:rPr>
              <w:br/>
              <w:t>en sistemas automatizados.</w:t>
            </w:r>
          </w:p>
          <w:p w:rsidR="00B86C6B" w:rsidRPr="00FB1FE7" w:rsidRDefault="00B86C6B" w:rsidP="00BE596F">
            <w:pPr>
              <w:rPr>
                <w:rFonts w:ascii="Verdana" w:hAnsi="Verdana" w:cs="Tahoma"/>
                <w:sz w:val="16"/>
                <w:szCs w:val="16"/>
                <w:lang w:val="es-ES_tradnl"/>
              </w:rPr>
            </w:pPr>
          </w:p>
        </w:tc>
      </w:tr>
      <w:tr w:rsidR="00B702B6" w:rsidRPr="00F508C9" w:rsidTr="000137B0">
        <w:tc>
          <w:tcPr>
            <w:tcW w:w="1668" w:type="dxa"/>
            <w:tcMar>
              <w:top w:w="85" w:type="dxa"/>
              <w:bottom w:w="85" w:type="dxa"/>
            </w:tcMar>
          </w:tcPr>
          <w:p w:rsidR="00B702B6" w:rsidRPr="00FB1FE7" w:rsidRDefault="00B702B6"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causada durante la adición de</w:t>
            </w:r>
            <w:r>
              <w:rPr>
                <w:rFonts w:ascii="Verdana" w:hAnsi="Verdana" w:cs="Tahoma"/>
                <w:b/>
                <w:bCs/>
                <w:sz w:val="16"/>
                <w:szCs w:val="16"/>
                <w:lang w:val="es-ES_tradnl"/>
              </w:rPr>
              <w:t>l catalizador</w:t>
            </w:r>
          </w:p>
        </w:tc>
        <w:tc>
          <w:tcPr>
            <w:tcW w:w="824" w:type="dxa"/>
            <w:tcMar>
              <w:top w:w="85" w:type="dxa"/>
              <w:bottom w:w="85" w:type="dxa"/>
            </w:tcMar>
          </w:tcPr>
          <w:p w:rsidR="00B702B6" w:rsidRPr="00FB1FE7" w:rsidRDefault="00B702B6" w:rsidP="00BE596F">
            <w:pPr>
              <w:jc w:val="center"/>
              <w:rPr>
                <w:rFonts w:ascii="Verdana" w:hAnsi="Verdana" w:cs="Tahoma"/>
                <w:sz w:val="16"/>
                <w:szCs w:val="16"/>
                <w:lang w:val="es-ES_tradnl"/>
              </w:rPr>
            </w:pPr>
          </w:p>
        </w:tc>
        <w:tc>
          <w:tcPr>
            <w:tcW w:w="877" w:type="dxa"/>
            <w:tcMar>
              <w:top w:w="85" w:type="dxa"/>
              <w:bottom w:w="85" w:type="dxa"/>
            </w:tcMar>
          </w:tcPr>
          <w:p w:rsidR="00B702B6" w:rsidRPr="00FB1FE7" w:rsidRDefault="00B702B6" w:rsidP="00BE596F">
            <w:pPr>
              <w:jc w:val="center"/>
              <w:rPr>
                <w:rFonts w:ascii="Verdana" w:hAnsi="Verdana" w:cs="Tahoma"/>
                <w:sz w:val="16"/>
                <w:szCs w:val="16"/>
                <w:lang w:val="es-ES_tradnl"/>
              </w:rPr>
            </w:pPr>
            <w:r>
              <w:rPr>
                <w:rFonts w:ascii="Verdana" w:hAnsi="Verdana" w:cs="Tahoma"/>
                <w:sz w:val="16"/>
                <w:szCs w:val="16"/>
                <w:lang w:val="es-ES_tradnl"/>
              </w:rPr>
              <w:t>Baja</w:t>
            </w:r>
          </w:p>
        </w:tc>
        <w:tc>
          <w:tcPr>
            <w:tcW w:w="1417" w:type="dxa"/>
            <w:tcMar>
              <w:top w:w="85" w:type="dxa"/>
              <w:bottom w:w="85" w:type="dxa"/>
            </w:tcMar>
          </w:tcPr>
          <w:p w:rsidR="00B702B6" w:rsidRPr="00FB1FE7" w:rsidRDefault="00B702B6" w:rsidP="00BE596F">
            <w:pPr>
              <w:jc w:val="center"/>
              <w:rPr>
                <w:rFonts w:ascii="Verdana" w:hAnsi="Verdana" w:cs="Tahoma"/>
                <w:sz w:val="16"/>
                <w:szCs w:val="16"/>
                <w:lang w:val="es-ES_tradnl"/>
              </w:rPr>
            </w:pPr>
            <w:r>
              <w:rPr>
                <w:rFonts w:ascii="Verdana" w:hAnsi="Verdana" w:cs="Tahoma"/>
                <w:sz w:val="16"/>
                <w:szCs w:val="16"/>
                <w:lang w:val="es-ES_tradnl"/>
              </w:rPr>
              <w:t>Media</w:t>
            </w:r>
          </w:p>
        </w:tc>
        <w:tc>
          <w:tcPr>
            <w:tcW w:w="992" w:type="dxa"/>
            <w:tcMar>
              <w:top w:w="85" w:type="dxa"/>
              <w:bottom w:w="85" w:type="dxa"/>
            </w:tcMar>
          </w:tcPr>
          <w:p w:rsidR="00B702B6" w:rsidRPr="00FB1FE7" w:rsidRDefault="00B702B6" w:rsidP="00BE596F">
            <w:pPr>
              <w:jc w:val="center"/>
              <w:rPr>
                <w:rFonts w:ascii="Verdana" w:hAnsi="Verdana" w:cs="Tahoma"/>
                <w:sz w:val="16"/>
                <w:szCs w:val="16"/>
                <w:lang w:val="es-ES_tradnl"/>
              </w:rPr>
            </w:pPr>
            <w:r>
              <w:rPr>
                <w:rFonts w:ascii="Verdana" w:hAnsi="Verdana" w:cs="Tahoma"/>
                <w:sz w:val="16"/>
                <w:szCs w:val="16"/>
                <w:lang w:val="es-ES_tradnl"/>
              </w:rPr>
              <w:t>2</w:t>
            </w:r>
          </w:p>
        </w:tc>
        <w:tc>
          <w:tcPr>
            <w:tcW w:w="2383" w:type="dxa"/>
            <w:tcMar>
              <w:top w:w="85" w:type="dxa"/>
              <w:bottom w:w="85" w:type="dxa"/>
            </w:tcMar>
          </w:tcPr>
          <w:p w:rsidR="00B702B6" w:rsidRPr="00FB1FE7" w:rsidRDefault="00B702B6" w:rsidP="00BE596F">
            <w:pPr>
              <w:rPr>
                <w:rFonts w:ascii="Verdana" w:hAnsi="Verdana" w:cs="Tahoma"/>
                <w:sz w:val="16"/>
                <w:szCs w:val="16"/>
                <w:lang w:val="es-ES_tradnl"/>
              </w:rPr>
            </w:pPr>
            <w:r w:rsidRPr="00FB1FE7">
              <w:rPr>
                <w:rFonts w:ascii="Verdana" w:hAnsi="Verdana" w:cs="Tahoma"/>
                <w:sz w:val="16"/>
                <w:szCs w:val="16"/>
                <w:lang w:val="es-ES_tradnl"/>
              </w:rPr>
              <w:t>Sustancias indeseables en el</w:t>
            </w:r>
            <w:r>
              <w:rPr>
                <w:rFonts w:ascii="Verdana" w:hAnsi="Verdana" w:cs="Tahoma"/>
                <w:sz w:val="16"/>
                <w:szCs w:val="16"/>
                <w:lang w:val="es-ES_tradnl"/>
              </w:rPr>
              <w:t xml:space="preserve"> catalizador</w:t>
            </w:r>
          </w:p>
        </w:tc>
        <w:tc>
          <w:tcPr>
            <w:tcW w:w="1870" w:type="dxa"/>
            <w:tcMar>
              <w:top w:w="85" w:type="dxa"/>
              <w:bottom w:w="85" w:type="dxa"/>
            </w:tcMar>
          </w:tcPr>
          <w:p w:rsidR="00B702B6" w:rsidRPr="00FB1FE7" w:rsidRDefault="00B702B6" w:rsidP="00BE596F">
            <w:pPr>
              <w:rPr>
                <w:rFonts w:ascii="Verdana" w:hAnsi="Verdana" w:cs="Tahoma"/>
                <w:sz w:val="16"/>
                <w:szCs w:val="16"/>
                <w:lang w:val="es-ES_tradnl"/>
              </w:rPr>
            </w:pPr>
          </w:p>
        </w:tc>
        <w:tc>
          <w:tcPr>
            <w:tcW w:w="2551" w:type="dxa"/>
            <w:tcMar>
              <w:top w:w="85" w:type="dxa"/>
              <w:bottom w:w="85" w:type="dxa"/>
            </w:tcMar>
          </w:tcPr>
          <w:p w:rsidR="00A2053F" w:rsidRPr="00FB1FE7" w:rsidRDefault="00A2053F" w:rsidP="00A2053F">
            <w:pPr>
              <w:rPr>
                <w:rFonts w:ascii="Verdana" w:hAnsi="Verdana" w:cs="Tahoma"/>
                <w:iCs/>
                <w:sz w:val="16"/>
                <w:szCs w:val="16"/>
                <w:lang w:val="es-ES_tradnl"/>
              </w:rPr>
            </w:pPr>
            <w:r w:rsidRPr="00FB1FE7">
              <w:rPr>
                <w:rFonts w:ascii="Verdana" w:hAnsi="Verdana" w:cs="Tahoma"/>
                <w:iCs/>
                <w:sz w:val="16"/>
                <w:szCs w:val="16"/>
                <w:lang w:val="es-ES_tradnl"/>
              </w:rPr>
              <w:t xml:space="preserve">Utilizar </w:t>
            </w:r>
            <w:r>
              <w:rPr>
                <w:rFonts w:ascii="Verdana" w:hAnsi="Verdana" w:cs="Tahoma"/>
                <w:iCs/>
                <w:sz w:val="16"/>
                <w:szCs w:val="16"/>
                <w:lang w:val="es-ES_tradnl"/>
              </w:rPr>
              <w:t>un catalizador</w:t>
            </w:r>
            <w:r w:rsidRPr="00FB1FE7">
              <w:rPr>
                <w:rFonts w:ascii="Verdana" w:hAnsi="Verdana" w:cs="Tahoma"/>
                <w:iCs/>
                <w:sz w:val="16"/>
                <w:szCs w:val="16"/>
                <w:lang w:val="es-ES_tradnl"/>
              </w:rPr>
              <w:t xml:space="preserve"> de la calidad adecuada. </w:t>
            </w:r>
          </w:p>
          <w:p w:rsidR="00A2053F" w:rsidRPr="00FB1FE7" w:rsidRDefault="00A2053F" w:rsidP="00A2053F">
            <w:pPr>
              <w:rPr>
                <w:rFonts w:ascii="Verdana" w:hAnsi="Verdana" w:cs="Tahoma"/>
                <w:iCs/>
                <w:sz w:val="16"/>
                <w:szCs w:val="16"/>
                <w:lang w:val="es-ES_tradnl"/>
              </w:rPr>
            </w:pPr>
          </w:p>
          <w:p w:rsidR="00A2053F" w:rsidRPr="00FB1FE7" w:rsidRDefault="00A2053F" w:rsidP="00A2053F">
            <w:pPr>
              <w:rPr>
                <w:rFonts w:ascii="Verdana" w:hAnsi="Verdana" w:cs="Tahoma"/>
                <w:iCs/>
                <w:sz w:val="16"/>
                <w:szCs w:val="16"/>
                <w:lang w:val="es-ES_tradnl"/>
              </w:rPr>
            </w:pPr>
            <w:r w:rsidRPr="00FB1FE7">
              <w:rPr>
                <w:rFonts w:ascii="Verdana" w:hAnsi="Verdana" w:cs="Tahoma"/>
                <w:iCs/>
                <w:sz w:val="16"/>
                <w:szCs w:val="16"/>
                <w:lang w:val="es-ES_tradnl"/>
              </w:rPr>
              <w:t>Descripción en las especificaciones del contrato.</w:t>
            </w:r>
          </w:p>
          <w:p w:rsidR="00A2053F" w:rsidRPr="00FB1FE7" w:rsidRDefault="00A2053F" w:rsidP="00A2053F">
            <w:pPr>
              <w:rPr>
                <w:rFonts w:ascii="Verdana" w:hAnsi="Verdana" w:cs="Tahoma"/>
                <w:iCs/>
                <w:sz w:val="16"/>
                <w:szCs w:val="16"/>
                <w:lang w:val="es-ES_tradnl"/>
              </w:rPr>
            </w:pPr>
          </w:p>
          <w:p w:rsidR="00B702B6" w:rsidRPr="00FB1FE7" w:rsidRDefault="00A2053F" w:rsidP="00A2053F">
            <w:pPr>
              <w:rPr>
                <w:rFonts w:ascii="Verdana" w:hAnsi="Verdana" w:cs="Tahoma"/>
                <w:iCs/>
                <w:sz w:val="16"/>
                <w:szCs w:val="16"/>
                <w:lang w:val="es-ES_tradnl"/>
              </w:rPr>
            </w:pPr>
            <w:r w:rsidRPr="00FB1FE7">
              <w:rPr>
                <w:rFonts w:ascii="Verdana" w:hAnsi="Verdana" w:cs="Tahoma"/>
                <w:iCs/>
                <w:sz w:val="16"/>
                <w:szCs w:val="16"/>
                <w:lang w:val="es-ES_tradnl"/>
              </w:rPr>
              <w:t>Seguimiento en línea del proceso, etiquetado correcto de los envases que contengan productos químicos.</w:t>
            </w:r>
          </w:p>
        </w:tc>
        <w:tc>
          <w:tcPr>
            <w:tcW w:w="2127" w:type="dxa"/>
            <w:tcMar>
              <w:top w:w="85" w:type="dxa"/>
              <w:bottom w:w="85" w:type="dxa"/>
            </w:tcMar>
          </w:tcPr>
          <w:p w:rsidR="00B702B6" w:rsidRPr="00FB1FE7" w:rsidRDefault="00B702B6" w:rsidP="00BE596F">
            <w:pPr>
              <w:rPr>
                <w:rFonts w:ascii="Verdana" w:hAnsi="Verdana" w:cs="Tahoma"/>
                <w:sz w:val="16"/>
                <w:szCs w:val="16"/>
                <w:lang w:val="es-ES_tradnl"/>
              </w:rPr>
            </w:pPr>
          </w:p>
        </w:tc>
      </w:tr>
    </w:tbl>
    <w:p w:rsidR="00B86C6B" w:rsidRPr="00FB1FE7" w:rsidRDefault="00B86C6B" w:rsidP="00BE596F">
      <w:pPr>
        <w:rPr>
          <w:rFonts w:ascii="Verdana" w:hAnsi="Verdana" w:cs="Tahoma"/>
          <w:sz w:val="14"/>
          <w:szCs w:val="14"/>
          <w:lang w:val="es-ES_tradnl"/>
        </w:rPr>
      </w:pPr>
    </w:p>
    <w:p w:rsidR="00B86C6B" w:rsidRPr="00FB1FE7" w:rsidRDefault="00B86C6B" w:rsidP="00BE596F">
      <w:pPr>
        <w:rPr>
          <w:rFonts w:ascii="Verdana" w:hAnsi="Verdana" w:cs="Tahoma"/>
          <w:sz w:val="14"/>
          <w:szCs w:val="14"/>
          <w:lang w:val="es-ES_tradnl"/>
        </w:rPr>
      </w:pPr>
      <w:r w:rsidRPr="00FB1FE7">
        <w:rPr>
          <w:rFonts w:ascii="Verdana" w:hAnsi="Verdana" w:cs="Tahoma"/>
          <w:sz w:val="14"/>
          <w:szCs w:val="14"/>
          <w:lang w:val="es-ES_tradnl"/>
        </w:rPr>
        <w:br w:type="page"/>
      </w:r>
    </w:p>
    <w:p w:rsidR="004E54A8" w:rsidRPr="00FB1FE7" w:rsidRDefault="004E54A8" w:rsidP="00BE596F">
      <w:pPr>
        <w:rPr>
          <w:rFonts w:ascii="Verdana" w:hAnsi="Verdana" w:cs="Tahoma"/>
          <w:sz w:val="14"/>
          <w:szCs w:val="14"/>
          <w:lang w:val="es-ES_tradnl"/>
        </w:rPr>
      </w:pPr>
    </w:p>
    <w:p w:rsidR="004E54A8" w:rsidRPr="00FB1FE7" w:rsidRDefault="004E54A8" w:rsidP="00BE596F">
      <w:pPr>
        <w:rPr>
          <w:rFonts w:ascii="Verdana" w:hAnsi="Verdana" w:cs="Tahoma"/>
          <w:sz w:val="14"/>
          <w:szCs w:val="14"/>
          <w:lang w:val="es-ES_tradnl"/>
        </w:rPr>
      </w:pPr>
    </w:p>
    <w:p w:rsidR="004E54A8" w:rsidRPr="00FB1FE7" w:rsidRDefault="004E54A8" w:rsidP="00BE596F">
      <w:pPr>
        <w:rPr>
          <w:rFonts w:ascii="Verdana" w:hAnsi="Verdana" w:cs="Tahoma"/>
          <w:sz w:val="14"/>
          <w:szCs w:val="14"/>
          <w:lang w:val="es-ES_tradn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49"/>
        <w:gridCol w:w="993"/>
        <w:gridCol w:w="1418"/>
        <w:gridCol w:w="992"/>
        <w:gridCol w:w="2268"/>
        <w:gridCol w:w="2268"/>
        <w:gridCol w:w="2126"/>
        <w:gridCol w:w="1985"/>
      </w:tblGrid>
      <w:tr w:rsidR="00C724B8" w:rsidRPr="00F508C9" w:rsidTr="00673F18">
        <w:tc>
          <w:tcPr>
            <w:tcW w:w="4928" w:type="dxa"/>
            <w:gridSpan w:val="4"/>
            <w:tcBorders>
              <w:bottom w:val="single" w:sz="4" w:space="0" w:color="auto"/>
            </w:tcBorders>
            <w:shd w:val="clear" w:color="auto" w:fill="0DA72A"/>
            <w:tcMar>
              <w:top w:w="57" w:type="dxa"/>
              <w:bottom w:w="57" w:type="dxa"/>
            </w:tcMar>
            <w:vAlign w:val="center"/>
          </w:tcPr>
          <w:p w:rsidR="00C724B8" w:rsidRPr="00FB1FE7" w:rsidRDefault="00E80F73" w:rsidP="00673F18">
            <w:pPr>
              <w:spacing w:before="20" w:after="20"/>
              <w:ind w:left="85" w:right="85"/>
              <w:rPr>
                <w:rFonts w:ascii="Verdana" w:hAnsi="Verdana"/>
                <w:b/>
                <w:color w:val="FFFFFF"/>
                <w:sz w:val="32"/>
                <w:szCs w:val="32"/>
                <w:lang w:val="es-ES_tradnl"/>
              </w:rPr>
            </w:pPr>
            <w:r w:rsidRPr="00FB1FE7">
              <w:rPr>
                <w:rFonts w:ascii="Verdana" w:hAnsi="Verdana"/>
                <w:b/>
                <w:color w:val="FFFFFF"/>
                <w:sz w:val="32"/>
                <w:szCs w:val="32"/>
                <w:lang w:val="es-ES_tradnl"/>
              </w:rPr>
              <w:t>8. Enfoque basado en el riesgo aplicado a la glicerina</w:t>
            </w:r>
          </w:p>
        </w:tc>
        <w:tc>
          <w:tcPr>
            <w:tcW w:w="9639" w:type="dxa"/>
            <w:gridSpan w:val="5"/>
            <w:tcBorders>
              <w:left w:val="nil"/>
              <w:bottom w:val="single" w:sz="4" w:space="0" w:color="auto"/>
            </w:tcBorders>
            <w:shd w:val="clear" w:color="auto" w:fill="0DA72A"/>
            <w:tcMar>
              <w:top w:w="57" w:type="dxa"/>
              <w:bottom w:w="57" w:type="dxa"/>
            </w:tcMar>
            <w:vAlign w:val="center"/>
          </w:tcPr>
          <w:p w:rsidR="00C724B8" w:rsidRPr="00FB1FE7" w:rsidRDefault="00C724B8" w:rsidP="00BE596F">
            <w:pPr>
              <w:rPr>
                <w:rFonts w:ascii="Verdana" w:hAnsi="Verdana" w:cs="Tahoma"/>
                <w:b/>
                <w:color w:val="FFFFFF"/>
                <w:sz w:val="28"/>
                <w:szCs w:val="28"/>
                <w:lang w:val="es-ES_tradnl"/>
              </w:rPr>
            </w:pPr>
            <w:r w:rsidRPr="00FB1FE7">
              <w:rPr>
                <w:rFonts w:ascii="Verdana" w:hAnsi="Verdana" w:cs="Tahoma"/>
                <w:b/>
                <w:color w:val="FFFFFF"/>
                <w:sz w:val="28"/>
                <w:szCs w:val="28"/>
                <w:lang w:val="es-ES_tradnl"/>
              </w:rPr>
              <w:t>5. Fase 2 de 3 – Transesterificación (fase de separación)</w:t>
            </w:r>
          </w:p>
        </w:tc>
      </w:tr>
      <w:tr w:rsidR="00B86C6B" w:rsidRPr="00FB1FE7" w:rsidTr="000137B0">
        <w:tc>
          <w:tcPr>
            <w:tcW w:w="166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49"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993"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41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26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226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Y/O CLÁUSULAS CONTRACTUALES </w:t>
            </w:r>
          </w:p>
        </w:tc>
        <w:tc>
          <w:tcPr>
            <w:tcW w:w="2126"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1985"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B86C6B" w:rsidRPr="00F508C9" w:rsidTr="000137B0">
        <w:tc>
          <w:tcPr>
            <w:tcW w:w="1668" w:type="dxa"/>
            <w:tcMar>
              <w:top w:w="85" w:type="dxa"/>
              <w:bottom w:w="85" w:type="dxa"/>
            </w:tcMar>
          </w:tcPr>
          <w:p w:rsidR="00F81C3B" w:rsidRPr="00FB1FE7" w:rsidRDefault="00F81C3B" w:rsidP="00BE596F">
            <w:pPr>
              <w:rPr>
                <w:rFonts w:ascii="Verdana" w:hAnsi="Verdana" w:cs="Tahoma"/>
                <w:b/>
                <w:bCs/>
                <w:sz w:val="16"/>
                <w:szCs w:val="16"/>
                <w:lang w:val="es-ES_tradnl"/>
              </w:rPr>
            </w:pPr>
          </w:p>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Residuos de éster metílico en la glicerina</w:t>
            </w:r>
          </w:p>
        </w:tc>
        <w:tc>
          <w:tcPr>
            <w:tcW w:w="849" w:type="dxa"/>
            <w:tcMar>
              <w:top w:w="85" w:type="dxa"/>
              <w:bottom w:w="85" w:type="dxa"/>
            </w:tcMar>
          </w:tcPr>
          <w:p w:rsidR="00B86C6B" w:rsidRPr="00FB1FE7" w:rsidRDefault="00B86C6B" w:rsidP="00BE596F">
            <w:pPr>
              <w:jc w:val="center"/>
              <w:rPr>
                <w:rFonts w:ascii="Verdana" w:hAnsi="Verdana" w:cs="Tahoma"/>
                <w:sz w:val="16"/>
                <w:szCs w:val="16"/>
                <w:lang w:val="es-ES_tradnl"/>
              </w:rPr>
            </w:pPr>
          </w:p>
          <w:p w:rsidR="000C7703"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93" w:type="dxa"/>
            <w:tcMar>
              <w:top w:w="85" w:type="dxa"/>
              <w:bottom w:w="85" w:type="dxa"/>
            </w:tcMar>
          </w:tcPr>
          <w:p w:rsidR="00F81C3B" w:rsidRPr="00FB1FE7" w:rsidRDefault="00F81C3B" w:rsidP="00BE596F">
            <w:pPr>
              <w:jc w:val="center"/>
              <w:rPr>
                <w:rFonts w:ascii="Verdana" w:hAnsi="Verdana" w:cs="Tahoma"/>
                <w:sz w:val="16"/>
                <w:szCs w:val="16"/>
                <w:lang w:val="es-ES_tradnl"/>
              </w:rPr>
            </w:pPr>
          </w:p>
          <w:p w:rsidR="00B86C6B" w:rsidRPr="00FB1FE7" w:rsidRDefault="009A2121"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Baja</w:t>
            </w:r>
          </w:p>
        </w:tc>
        <w:tc>
          <w:tcPr>
            <w:tcW w:w="1418" w:type="dxa"/>
            <w:tcMar>
              <w:top w:w="85" w:type="dxa"/>
              <w:bottom w:w="85" w:type="dxa"/>
            </w:tcMar>
          </w:tcPr>
          <w:p w:rsidR="00F81C3B" w:rsidRPr="00FB1FE7" w:rsidRDefault="00F81C3B" w:rsidP="00BE596F">
            <w:pPr>
              <w:jc w:val="center"/>
              <w:rPr>
                <w:rFonts w:ascii="Verdana" w:hAnsi="Verdana" w:cs="Tahoma"/>
                <w:sz w:val="16"/>
                <w:szCs w:val="16"/>
                <w:lang w:val="es-ES_tradnl"/>
              </w:rPr>
            </w:pPr>
          </w:p>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shd w:val="clear" w:color="auto" w:fill="FFC000"/>
            <w:tcMar>
              <w:top w:w="85" w:type="dxa"/>
              <w:bottom w:w="85" w:type="dxa"/>
            </w:tcMar>
          </w:tcPr>
          <w:p w:rsidR="00F81C3B" w:rsidRPr="00FB1FE7" w:rsidRDefault="00F81C3B" w:rsidP="00BE596F">
            <w:pPr>
              <w:jc w:val="center"/>
              <w:rPr>
                <w:rFonts w:ascii="Verdana" w:hAnsi="Verdana" w:cs="Tahoma"/>
                <w:sz w:val="16"/>
                <w:szCs w:val="16"/>
                <w:lang w:val="es-ES_tradnl"/>
              </w:rPr>
            </w:pPr>
          </w:p>
          <w:p w:rsidR="00B86C6B" w:rsidRPr="00FB1FE7" w:rsidRDefault="009A2121"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3 </w:t>
            </w:r>
          </w:p>
        </w:tc>
        <w:tc>
          <w:tcPr>
            <w:tcW w:w="2268" w:type="dxa"/>
            <w:tcMar>
              <w:top w:w="85" w:type="dxa"/>
              <w:bottom w:w="85" w:type="dxa"/>
            </w:tcMar>
          </w:tcPr>
          <w:p w:rsidR="00F81C3B" w:rsidRPr="00FB1FE7" w:rsidRDefault="00F81C3B" w:rsidP="00BE596F">
            <w:pPr>
              <w:rPr>
                <w:rFonts w:ascii="Verdana" w:hAnsi="Verdana" w:cs="Tahoma"/>
                <w:sz w:val="16"/>
                <w:szCs w:val="16"/>
                <w:lang w:val="es-ES_tradnl"/>
              </w:rPr>
            </w:pPr>
          </w:p>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Separación del biodiésel y de los coproductos - fase 1</w:t>
            </w:r>
            <w:r w:rsidR="009533E3" w:rsidRPr="00FB1FE7">
              <w:rPr>
                <w:rFonts w:ascii="Verdana" w:hAnsi="Verdana" w:cs="Tahoma"/>
                <w:sz w:val="16"/>
                <w:szCs w:val="16"/>
                <w:lang w:val="es-ES_tradnl"/>
              </w:rPr>
              <w:t>.</w:t>
            </w:r>
          </w:p>
        </w:tc>
        <w:tc>
          <w:tcPr>
            <w:tcW w:w="2268" w:type="dxa"/>
            <w:tcMar>
              <w:top w:w="85" w:type="dxa"/>
              <w:bottom w:w="85" w:type="dxa"/>
            </w:tcMar>
          </w:tcPr>
          <w:p w:rsidR="00B86C6B" w:rsidRPr="00FB1FE7" w:rsidRDefault="00AB5105" w:rsidP="009533E3">
            <w:pPr>
              <w:rPr>
                <w:rFonts w:ascii="Verdana" w:hAnsi="Verdana" w:cs="Tahoma"/>
                <w:sz w:val="16"/>
                <w:szCs w:val="16"/>
                <w:lang w:val="es-ES_tradnl"/>
              </w:rPr>
            </w:pPr>
            <w:r w:rsidRPr="00FB1FE7">
              <w:rPr>
                <w:rFonts w:ascii="Verdana" w:hAnsi="Verdana" w:cs="Tahoma"/>
                <w:sz w:val="16"/>
                <w:szCs w:val="16"/>
                <w:lang w:val="es-ES_tradnl"/>
              </w:rPr>
              <w:t>Según el Reglamento (UE) nº 68/2013, puede contener hasta un 4</w:t>
            </w:r>
            <w:r w:rsidR="00673F18" w:rsidRPr="00FB1FE7">
              <w:rPr>
                <w:rFonts w:ascii="Verdana" w:hAnsi="Verdana" w:cs="Tahoma"/>
                <w:sz w:val="16"/>
                <w:szCs w:val="16"/>
                <w:lang w:val="es-ES_tradnl"/>
              </w:rPr>
              <w:t> %</w:t>
            </w:r>
            <w:r w:rsidRPr="00FB1FE7">
              <w:rPr>
                <w:rFonts w:ascii="Verdana" w:hAnsi="Verdana" w:cs="Tahoma"/>
                <w:sz w:val="16"/>
                <w:szCs w:val="16"/>
                <w:lang w:val="es-ES_tradnl"/>
              </w:rPr>
              <w:t xml:space="preserve"> de materia orgánica distinta del glicerol (MONG) constituida de ésteres metílicos de ácidos grasos, ésteres etílicos de ácidos grasos, ácidos grasos libres y glicéridos.</w:t>
            </w:r>
          </w:p>
        </w:tc>
        <w:tc>
          <w:tcPr>
            <w:tcW w:w="2126" w:type="dxa"/>
            <w:tcMar>
              <w:top w:w="85" w:type="dxa"/>
              <w:bottom w:w="85" w:type="dxa"/>
            </w:tcMar>
          </w:tcPr>
          <w:p w:rsidR="00F81C3B" w:rsidRPr="00FB1FE7" w:rsidRDefault="00F81C3B" w:rsidP="00BE596F">
            <w:pPr>
              <w:rPr>
                <w:rFonts w:ascii="Verdana" w:hAnsi="Verdana" w:cs="Tahoma"/>
                <w:sz w:val="16"/>
                <w:szCs w:val="16"/>
                <w:lang w:val="es-ES_tradnl"/>
              </w:rPr>
            </w:pPr>
          </w:p>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Plan de seguimiento y control del proceso.</w:t>
            </w:r>
          </w:p>
        </w:tc>
        <w:tc>
          <w:tcPr>
            <w:tcW w:w="1985" w:type="dxa"/>
            <w:tcMar>
              <w:top w:w="85" w:type="dxa"/>
              <w:bottom w:w="85" w:type="dxa"/>
            </w:tcMar>
          </w:tcPr>
          <w:p w:rsidR="00B86C6B" w:rsidRPr="00FB1FE7" w:rsidRDefault="00B86C6B" w:rsidP="00BE596F">
            <w:pPr>
              <w:rPr>
                <w:rFonts w:ascii="Verdana" w:hAnsi="Verdana" w:cs="Tahoma"/>
                <w:sz w:val="16"/>
                <w:szCs w:val="16"/>
                <w:lang w:val="es-ES_tradnl"/>
              </w:rPr>
            </w:pPr>
          </w:p>
        </w:tc>
      </w:tr>
      <w:tr w:rsidR="009A2121" w:rsidRPr="00F508C9" w:rsidTr="000137B0">
        <w:tc>
          <w:tcPr>
            <w:tcW w:w="1668" w:type="dxa"/>
            <w:tcBorders>
              <w:bottom w:val="single" w:sz="4" w:space="0" w:color="auto"/>
            </w:tcBorders>
            <w:tcMar>
              <w:top w:w="85" w:type="dxa"/>
              <w:bottom w:w="85" w:type="dxa"/>
            </w:tcMar>
          </w:tcPr>
          <w:p w:rsidR="009A2121" w:rsidRPr="00FB1FE7" w:rsidRDefault="009A2121" w:rsidP="00BE596F">
            <w:pPr>
              <w:rPr>
                <w:rFonts w:ascii="Verdana" w:hAnsi="Verdana" w:cs="Tahoma"/>
                <w:b/>
                <w:bCs/>
                <w:sz w:val="16"/>
                <w:szCs w:val="16"/>
                <w:lang w:val="es-ES_tradnl"/>
              </w:rPr>
            </w:pPr>
            <w:r w:rsidRPr="00FB1FE7">
              <w:rPr>
                <w:rFonts w:ascii="Verdana" w:hAnsi="Verdana" w:cs="Tahoma"/>
                <w:b/>
                <w:bCs/>
                <w:sz w:val="16"/>
                <w:szCs w:val="16"/>
                <w:lang w:val="es-ES_tradnl"/>
              </w:rPr>
              <w:t>Metanol en la glicerina bruta</w:t>
            </w:r>
          </w:p>
        </w:tc>
        <w:tc>
          <w:tcPr>
            <w:tcW w:w="849" w:type="dxa"/>
            <w:tcBorders>
              <w:bottom w:val="single" w:sz="4" w:space="0" w:color="auto"/>
            </w:tcBorders>
            <w:tcMar>
              <w:top w:w="85" w:type="dxa"/>
              <w:bottom w:w="85" w:type="dxa"/>
            </w:tcMar>
          </w:tcPr>
          <w:p w:rsidR="009A2121"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93" w:type="dxa"/>
            <w:tcBorders>
              <w:bottom w:val="single" w:sz="4" w:space="0" w:color="auto"/>
            </w:tcBorders>
            <w:tcMar>
              <w:top w:w="85" w:type="dxa"/>
              <w:bottom w:w="85" w:type="dxa"/>
            </w:tcMar>
          </w:tcPr>
          <w:p w:rsidR="009A2121" w:rsidRPr="00FB1FE7" w:rsidRDefault="000C7703"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1418" w:type="dxa"/>
            <w:tcBorders>
              <w:bottom w:val="single" w:sz="4" w:space="0" w:color="auto"/>
            </w:tcBorders>
            <w:tcMar>
              <w:top w:w="85" w:type="dxa"/>
              <w:bottom w:w="85" w:type="dxa"/>
            </w:tcMar>
          </w:tcPr>
          <w:p w:rsidR="009A2121" w:rsidRPr="00FB1FE7" w:rsidRDefault="000C7703"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bottom w:val="single" w:sz="4" w:space="0" w:color="auto"/>
            </w:tcBorders>
            <w:shd w:val="clear" w:color="auto" w:fill="FF0000"/>
            <w:tcMar>
              <w:top w:w="85" w:type="dxa"/>
              <w:bottom w:w="85" w:type="dxa"/>
            </w:tcMar>
          </w:tcPr>
          <w:p w:rsidR="009A2121" w:rsidRPr="00FB1FE7" w:rsidRDefault="000C7703" w:rsidP="00BE596F">
            <w:pPr>
              <w:jc w:val="center"/>
              <w:rPr>
                <w:rFonts w:ascii="Verdana" w:hAnsi="Verdana" w:cs="Tahoma"/>
                <w:sz w:val="16"/>
                <w:szCs w:val="16"/>
                <w:lang w:val="es-ES_tradnl"/>
              </w:rPr>
            </w:pPr>
            <w:r w:rsidRPr="00FB1FE7">
              <w:rPr>
                <w:rFonts w:ascii="Verdana" w:hAnsi="Verdana" w:cs="Tahoma"/>
                <w:sz w:val="16"/>
                <w:szCs w:val="16"/>
                <w:lang w:val="es-ES_tradnl"/>
              </w:rPr>
              <w:t>4</w:t>
            </w:r>
          </w:p>
        </w:tc>
        <w:tc>
          <w:tcPr>
            <w:tcW w:w="2268" w:type="dxa"/>
            <w:tcBorders>
              <w:bottom w:val="single" w:sz="4" w:space="0" w:color="auto"/>
            </w:tcBorders>
            <w:tcMar>
              <w:top w:w="85" w:type="dxa"/>
              <w:bottom w:w="85" w:type="dxa"/>
            </w:tcMar>
          </w:tcPr>
          <w:p w:rsidR="009A2121" w:rsidRPr="00FB1FE7" w:rsidRDefault="009A2121" w:rsidP="00BE596F">
            <w:pPr>
              <w:rPr>
                <w:rFonts w:ascii="Verdana" w:hAnsi="Verdana" w:cs="Tahoma"/>
                <w:sz w:val="16"/>
                <w:szCs w:val="16"/>
                <w:lang w:val="es-ES_tradnl"/>
              </w:rPr>
            </w:pPr>
          </w:p>
        </w:tc>
        <w:tc>
          <w:tcPr>
            <w:tcW w:w="2268" w:type="dxa"/>
            <w:tcBorders>
              <w:bottom w:val="single" w:sz="4" w:space="0" w:color="auto"/>
            </w:tcBorders>
            <w:tcMar>
              <w:top w:w="85" w:type="dxa"/>
              <w:bottom w:w="85" w:type="dxa"/>
            </w:tcMar>
          </w:tcPr>
          <w:p w:rsidR="009A2121" w:rsidRPr="00FB1FE7" w:rsidRDefault="004C758F" w:rsidP="00BE596F">
            <w:pPr>
              <w:rPr>
                <w:rFonts w:ascii="Verdana" w:hAnsi="Verdana" w:cs="Tahoma"/>
                <w:sz w:val="16"/>
                <w:szCs w:val="16"/>
                <w:lang w:val="es-ES_tradnl"/>
              </w:rPr>
            </w:pPr>
            <w:r w:rsidRPr="00FB1FE7">
              <w:rPr>
                <w:rFonts w:ascii="Verdana" w:hAnsi="Verdana"/>
                <w:sz w:val="16"/>
                <w:szCs w:val="16"/>
                <w:lang w:val="es-ES_tradnl"/>
              </w:rPr>
              <w:t>Según el Reglamento (UE) nº 68/2013, puede contener hasta un 0,5</w:t>
            </w:r>
            <w:r w:rsidR="00673F18" w:rsidRPr="00FB1FE7">
              <w:rPr>
                <w:rFonts w:ascii="Verdana" w:hAnsi="Verdana"/>
                <w:sz w:val="16"/>
                <w:szCs w:val="16"/>
                <w:lang w:val="es-ES_tradnl"/>
              </w:rPr>
              <w:t> %</w:t>
            </w:r>
            <w:r w:rsidRPr="00FB1FE7">
              <w:rPr>
                <w:rFonts w:ascii="Verdana" w:hAnsi="Verdana"/>
                <w:sz w:val="16"/>
                <w:szCs w:val="16"/>
                <w:lang w:val="es-ES_tradnl"/>
              </w:rPr>
              <w:t xml:space="preserve"> de metanol.</w:t>
            </w:r>
          </w:p>
        </w:tc>
        <w:tc>
          <w:tcPr>
            <w:tcW w:w="2126" w:type="dxa"/>
            <w:tcBorders>
              <w:bottom w:val="single" w:sz="4" w:space="0" w:color="auto"/>
            </w:tcBorders>
            <w:tcMar>
              <w:top w:w="85" w:type="dxa"/>
              <w:bottom w:w="85" w:type="dxa"/>
            </w:tcMar>
          </w:tcPr>
          <w:p w:rsidR="009A2121" w:rsidRPr="00FB1FE7" w:rsidRDefault="000C7703" w:rsidP="00BE596F">
            <w:pPr>
              <w:rPr>
                <w:rFonts w:ascii="Verdana" w:hAnsi="Verdana" w:cs="Tahoma"/>
                <w:sz w:val="16"/>
                <w:szCs w:val="16"/>
                <w:lang w:val="es-ES_tradnl"/>
              </w:rPr>
            </w:pPr>
            <w:r w:rsidRPr="00FB1FE7">
              <w:rPr>
                <w:rFonts w:ascii="Verdana" w:hAnsi="Verdana"/>
                <w:sz w:val="16"/>
                <w:szCs w:val="16"/>
                <w:lang w:val="es-ES_tradnl"/>
              </w:rPr>
              <w:t>Control mediante los parámetros del proceso.</w:t>
            </w:r>
          </w:p>
        </w:tc>
        <w:tc>
          <w:tcPr>
            <w:tcW w:w="1985" w:type="dxa"/>
            <w:tcBorders>
              <w:bottom w:val="single" w:sz="4" w:space="0" w:color="auto"/>
            </w:tcBorders>
            <w:tcMar>
              <w:top w:w="85" w:type="dxa"/>
              <w:bottom w:w="85" w:type="dxa"/>
            </w:tcMar>
          </w:tcPr>
          <w:p w:rsidR="009A2121" w:rsidRPr="00FB1FE7" w:rsidRDefault="009A2121" w:rsidP="00BE596F">
            <w:pPr>
              <w:rPr>
                <w:rFonts w:ascii="Verdana" w:hAnsi="Verdana" w:cs="Tahoma"/>
                <w:sz w:val="16"/>
                <w:szCs w:val="16"/>
                <w:lang w:val="es-ES_tradnl"/>
              </w:rPr>
            </w:pPr>
          </w:p>
        </w:tc>
      </w:tr>
    </w:tbl>
    <w:p w:rsidR="004E54A8" w:rsidRPr="00FB1FE7" w:rsidRDefault="004E54A8" w:rsidP="00BE596F">
      <w:pPr>
        <w:rPr>
          <w:rFonts w:ascii="Verdana" w:hAnsi="Verdana" w:cs="Tahoma"/>
          <w:sz w:val="14"/>
          <w:szCs w:val="14"/>
          <w:lang w:val="es-ES_tradnl"/>
        </w:rPr>
      </w:pPr>
    </w:p>
    <w:p w:rsidR="004E54A8" w:rsidRPr="00FB1FE7" w:rsidRDefault="004E54A8" w:rsidP="00BE596F">
      <w:pPr>
        <w:rPr>
          <w:rFonts w:ascii="Verdana" w:hAnsi="Verdana" w:cs="Tahoma"/>
          <w:sz w:val="14"/>
          <w:szCs w:val="14"/>
          <w:lang w:val="es-ES_tradnl"/>
        </w:rPr>
      </w:pPr>
      <w:r w:rsidRPr="00FB1FE7">
        <w:rPr>
          <w:rFonts w:ascii="Verdana" w:hAnsi="Verdana" w:cs="Tahoma"/>
          <w:sz w:val="14"/>
          <w:szCs w:val="14"/>
          <w:lang w:val="es-ES_tradnl"/>
        </w:rPr>
        <w:br w:type="page"/>
      </w:r>
    </w:p>
    <w:p w:rsidR="004E54A8" w:rsidRPr="00FB1FE7" w:rsidRDefault="004E54A8" w:rsidP="00BE596F">
      <w:pPr>
        <w:rPr>
          <w:rFonts w:ascii="Verdana" w:hAnsi="Verdana" w:cs="Tahoma"/>
          <w:sz w:val="14"/>
          <w:szCs w:val="14"/>
          <w:lang w:val="es-ES_trad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70"/>
        <w:gridCol w:w="972"/>
        <w:gridCol w:w="1418"/>
        <w:gridCol w:w="992"/>
        <w:gridCol w:w="2159"/>
        <w:gridCol w:w="1952"/>
        <w:gridCol w:w="1984"/>
        <w:gridCol w:w="2675"/>
        <w:gridCol w:w="19"/>
      </w:tblGrid>
      <w:tr w:rsidR="00C724B8" w:rsidRPr="00F508C9" w:rsidTr="00673F18">
        <w:trPr>
          <w:gridAfter w:val="1"/>
          <w:wAfter w:w="19" w:type="dxa"/>
        </w:trPr>
        <w:tc>
          <w:tcPr>
            <w:tcW w:w="4928" w:type="dxa"/>
            <w:gridSpan w:val="4"/>
            <w:tcBorders>
              <w:bottom w:val="single" w:sz="4" w:space="0" w:color="auto"/>
            </w:tcBorders>
            <w:shd w:val="clear" w:color="auto" w:fill="0DA72A"/>
            <w:tcMar>
              <w:top w:w="57" w:type="dxa"/>
              <w:bottom w:w="57" w:type="dxa"/>
            </w:tcMar>
            <w:vAlign w:val="center"/>
          </w:tcPr>
          <w:p w:rsidR="00C724B8" w:rsidRPr="00FB1FE7" w:rsidRDefault="00E80F73" w:rsidP="00673F18">
            <w:pPr>
              <w:spacing w:before="20" w:after="20"/>
              <w:ind w:left="85" w:right="85"/>
              <w:rPr>
                <w:rFonts w:ascii="Verdana" w:hAnsi="Verdana"/>
                <w:b/>
                <w:color w:val="FFFFFF"/>
                <w:sz w:val="32"/>
                <w:szCs w:val="32"/>
                <w:lang w:val="es-ES_tradnl"/>
              </w:rPr>
            </w:pPr>
            <w:r w:rsidRPr="00FB1FE7">
              <w:rPr>
                <w:rFonts w:ascii="Verdana" w:hAnsi="Verdana"/>
                <w:b/>
                <w:color w:val="FFFFFF"/>
                <w:sz w:val="32"/>
                <w:szCs w:val="32"/>
                <w:lang w:val="es-ES_tradnl"/>
              </w:rPr>
              <w:t>8. Enfoque basado en el riesgo aplicado a la glicerina</w:t>
            </w:r>
          </w:p>
        </w:tc>
        <w:tc>
          <w:tcPr>
            <w:tcW w:w="9762" w:type="dxa"/>
            <w:gridSpan w:val="5"/>
            <w:tcBorders>
              <w:left w:val="nil"/>
              <w:bottom w:val="single" w:sz="4" w:space="0" w:color="auto"/>
            </w:tcBorders>
            <w:shd w:val="clear" w:color="auto" w:fill="0DA72A"/>
            <w:tcMar>
              <w:top w:w="57" w:type="dxa"/>
              <w:bottom w:w="57" w:type="dxa"/>
            </w:tcMar>
            <w:vAlign w:val="center"/>
          </w:tcPr>
          <w:p w:rsidR="00C724B8" w:rsidRPr="00FB1FE7" w:rsidRDefault="00B87D01" w:rsidP="00BE596F">
            <w:pPr>
              <w:rPr>
                <w:rFonts w:ascii="Verdana" w:hAnsi="Verdana" w:cs="Tahoma"/>
                <w:b/>
                <w:color w:val="FFFFFF"/>
                <w:sz w:val="28"/>
                <w:szCs w:val="28"/>
                <w:lang w:val="es-ES_tradnl"/>
              </w:rPr>
            </w:pPr>
            <w:r w:rsidRPr="00FB1FE7">
              <w:rPr>
                <w:rFonts w:ascii="Verdana" w:hAnsi="Verdana" w:cs="Tahoma"/>
                <w:b/>
                <w:color w:val="FFFFFF"/>
                <w:sz w:val="28"/>
                <w:szCs w:val="28"/>
                <w:lang w:val="es-ES_tradnl"/>
              </w:rPr>
              <w:t>6. Fase 3 de 3 - Acidulación y separación de los AGL</w:t>
            </w:r>
          </w:p>
        </w:tc>
      </w:tr>
      <w:tr w:rsidR="00B86C6B" w:rsidRPr="00FB1FE7" w:rsidTr="009533E3">
        <w:tc>
          <w:tcPr>
            <w:tcW w:w="166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70"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97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41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159"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195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w:t>
            </w:r>
          </w:p>
        </w:tc>
        <w:tc>
          <w:tcPr>
            <w:tcW w:w="1984"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2694" w:type="dxa"/>
            <w:gridSpan w:val="2"/>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B86C6B" w:rsidRPr="00F508C9" w:rsidTr="009533E3">
        <w:tc>
          <w:tcPr>
            <w:tcW w:w="1668" w:type="dxa"/>
            <w:tcBorders>
              <w:bottom w:val="single" w:sz="4" w:space="0" w:color="auto"/>
            </w:tcBorders>
            <w:tcMar>
              <w:top w:w="85" w:type="dxa"/>
              <w:bottom w:w="85" w:type="dxa"/>
            </w:tcMar>
          </w:tcPr>
          <w:p w:rsidR="00B86C6B" w:rsidRPr="00FB1FE7" w:rsidRDefault="004C758F" w:rsidP="00BE596F">
            <w:pPr>
              <w:rPr>
                <w:rFonts w:ascii="Verdana" w:hAnsi="Verdana" w:cs="Tahoma"/>
                <w:b/>
                <w:bCs/>
                <w:sz w:val="16"/>
                <w:szCs w:val="16"/>
                <w:lang w:val="es-ES_tradnl"/>
              </w:rPr>
            </w:pPr>
            <w:r w:rsidRPr="00FB1FE7">
              <w:rPr>
                <w:rFonts w:ascii="Verdana" w:hAnsi="Verdana" w:cs="Tahoma"/>
                <w:b/>
                <w:bCs/>
                <w:sz w:val="16"/>
                <w:szCs w:val="16"/>
                <w:lang w:val="es-ES_tradnl"/>
              </w:rPr>
              <w:t>Contaminantes en los coadyuvantes tecnológicos</w:t>
            </w:r>
            <w:r w:rsidR="00673F18" w:rsidRPr="00FB1FE7">
              <w:rPr>
                <w:rFonts w:ascii="Verdana" w:hAnsi="Verdana" w:cs="Tahoma"/>
                <w:b/>
                <w:bCs/>
                <w:sz w:val="16"/>
                <w:szCs w:val="16"/>
                <w:lang w:val="es-ES_tradnl"/>
              </w:rPr>
              <w:t xml:space="preserve"> </w:t>
            </w:r>
          </w:p>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(soluciones alcalinas, ácidos)</w:t>
            </w:r>
          </w:p>
        </w:tc>
        <w:tc>
          <w:tcPr>
            <w:tcW w:w="870" w:type="dxa"/>
            <w:tcBorders>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2"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Baja</w:t>
            </w:r>
          </w:p>
        </w:tc>
        <w:tc>
          <w:tcPr>
            <w:tcW w:w="1418"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Alta</w:t>
            </w:r>
          </w:p>
        </w:tc>
        <w:tc>
          <w:tcPr>
            <w:tcW w:w="992" w:type="dxa"/>
            <w:tcBorders>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59"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Los coadyuvantes tecnológicos entran en contacto con el producto.</w:t>
            </w:r>
          </w:p>
          <w:p w:rsidR="00B86C6B" w:rsidRPr="00FB1FE7" w:rsidRDefault="00B86C6B" w:rsidP="00BE596F">
            <w:pPr>
              <w:rPr>
                <w:rFonts w:ascii="Verdana" w:hAnsi="Verdana" w:cs="Tahoma"/>
                <w:sz w:val="16"/>
                <w:szCs w:val="16"/>
                <w:lang w:val="es-ES_tradnl"/>
              </w:rPr>
            </w:pPr>
          </w:p>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Riesgo de sobredosis.</w:t>
            </w:r>
          </w:p>
          <w:p w:rsidR="00B86C6B" w:rsidRPr="00FB1FE7" w:rsidRDefault="00B86C6B" w:rsidP="00BE596F">
            <w:pPr>
              <w:rPr>
                <w:rFonts w:ascii="Verdana" w:hAnsi="Verdana" w:cs="Tahoma"/>
                <w:sz w:val="16"/>
                <w:szCs w:val="16"/>
                <w:lang w:val="es-ES_tradnl"/>
              </w:rPr>
            </w:pPr>
          </w:p>
        </w:tc>
        <w:tc>
          <w:tcPr>
            <w:tcW w:w="1952"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EUAlbertina"/>
                <w:sz w:val="16"/>
                <w:szCs w:val="16"/>
                <w:lang w:val="es-ES_tradnl" w:eastAsia="fr-BE"/>
              </w:rPr>
              <w:t xml:space="preserve">El Reglamento (UE) nº 68/2013 establece límites para el contenido máximo de impurezas químicas como consecuencia del proceso de fabricación o de los coadyuvantes tecnológicos. </w:t>
            </w:r>
          </w:p>
        </w:tc>
        <w:tc>
          <w:tcPr>
            <w:tcW w:w="1984"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Los coadyuvantes tecnológicos que entren en contacto directo con el aceite deberán evaluarse, adoptando las medidas oportunas para reducir el riesgo hasta un nivel aceptable.</w:t>
            </w:r>
          </w:p>
          <w:p w:rsidR="00B86C6B" w:rsidRPr="00FB1FE7" w:rsidRDefault="00303AC4" w:rsidP="00BE596F">
            <w:pPr>
              <w:rPr>
                <w:rFonts w:ascii="Verdana" w:hAnsi="Verdana" w:cs="Tahoma"/>
                <w:sz w:val="16"/>
                <w:szCs w:val="16"/>
                <w:lang w:val="es-ES_tradnl"/>
              </w:rPr>
            </w:pPr>
            <w:r w:rsidRPr="00FB1FE7">
              <w:rPr>
                <w:rFonts w:ascii="Verdana" w:hAnsi="Verdana" w:cs="Tahoma"/>
                <w:sz w:val="16"/>
                <w:szCs w:val="16"/>
                <w:lang w:val="es-ES_tradnl"/>
              </w:rPr>
              <w:t>Seguimiento en línea del proceso (índices de consumo)</w:t>
            </w:r>
            <w:r w:rsidR="009533E3" w:rsidRPr="00FB1FE7">
              <w:rPr>
                <w:rFonts w:ascii="Verdana" w:hAnsi="Verdana" w:cs="Tahoma"/>
                <w:sz w:val="16"/>
                <w:szCs w:val="16"/>
                <w:lang w:val="es-ES_tradnl"/>
              </w:rPr>
              <w:t>.</w:t>
            </w:r>
          </w:p>
        </w:tc>
        <w:tc>
          <w:tcPr>
            <w:tcW w:w="2694" w:type="dxa"/>
            <w:gridSpan w:val="2"/>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B1FE7" w:rsidTr="009533E3">
        <w:tc>
          <w:tcPr>
            <w:tcW w:w="1668" w:type="dxa"/>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b/>
                <w:bCs/>
                <w:sz w:val="16"/>
                <w:szCs w:val="16"/>
                <w:lang w:val="es-ES_tradnl"/>
              </w:rPr>
              <w:t xml:space="preserve">Residuos de plaguicidas por encima del LMR, es decir, residuos de herbicidas, </w:t>
            </w:r>
            <w:r w:rsidR="00C71A67" w:rsidRPr="00FB1FE7">
              <w:rPr>
                <w:rFonts w:ascii="Verdana" w:hAnsi="Verdana" w:cs="Tahoma"/>
                <w:b/>
                <w:bCs/>
                <w:sz w:val="16"/>
                <w:szCs w:val="16"/>
                <w:lang w:val="es-ES_tradnl"/>
              </w:rPr>
              <w:t xml:space="preserve">insecticias, </w:t>
            </w:r>
            <w:r w:rsidRPr="00FB1FE7">
              <w:rPr>
                <w:rFonts w:ascii="Verdana" w:hAnsi="Verdana" w:cs="Tahoma"/>
                <w:b/>
                <w:bCs/>
                <w:sz w:val="16"/>
                <w:szCs w:val="16"/>
                <w:lang w:val="es-ES_tradnl"/>
              </w:rPr>
              <w:t>fungicidas o rodenticidas superiores al LMR</w:t>
            </w:r>
          </w:p>
        </w:tc>
        <w:tc>
          <w:tcPr>
            <w:tcW w:w="870" w:type="dxa"/>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2" w:type="dxa"/>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992" w:type="dxa"/>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1</w:t>
            </w:r>
          </w:p>
        </w:tc>
        <w:tc>
          <w:tcPr>
            <w:tcW w:w="2159" w:type="dxa"/>
            <w:tcMar>
              <w:top w:w="85" w:type="dxa"/>
              <w:bottom w:w="85" w:type="dxa"/>
            </w:tcMar>
          </w:tcPr>
          <w:p w:rsidR="00B86C6B" w:rsidRPr="00FB1FE7" w:rsidRDefault="00C71A67" w:rsidP="00C71A67">
            <w:pPr>
              <w:rPr>
                <w:rFonts w:ascii="Verdana" w:hAnsi="Verdana" w:cs="Tahoma"/>
                <w:iCs/>
                <w:sz w:val="16"/>
                <w:szCs w:val="16"/>
                <w:lang w:val="es-ES_tradnl"/>
              </w:rPr>
            </w:pPr>
            <w:r w:rsidRPr="00FB1FE7">
              <w:rPr>
                <w:rFonts w:ascii="Verdana" w:hAnsi="Verdana" w:cs="Tahoma"/>
                <w:sz w:val="16"/>
                <w:szCs w:val="16"/>
                <w:lang w:val="es-ES_tradnl"/>
              </w:rPr>
              <w:t xml:space="preserve">El control </w:t>
            </w:r>
            <w:r w:rsidR="00B86C6B" w:rsidRPr="00FB1FE7">
              <w:rPr>
                <w:rFonts w:ascii="Verdana" w:hAnsi="Verdana" w:cs="Tahoma"/>
                <w:sz w:val="16"/>
                <w:szCs w:val="16"/>
                <w:lang w:val="es-ES_tradnl"/>
              </w:rPr>
              <w:t xml:space="preserve">periódico de los residuos de plaguicidas </w:t>
            </w:r>
            <w:r w:rsidRPr="00FB1FE7">
              <w:rPr>
                <w:rFonts w:ascii="Verdana" w:hAnsi="Verdana" w:cs="Tahoma"/>
                <w:sz w:val="16"/>
                <w:szCs w:val="16"/>
                <w:lang w:val="es-ES_tradnl"/>
              </w:rPr>
              <w:t>muestra</w:t>
            </w:r>
            <w:r w:rsidR="00B86C6B" w:rsidRPr="00FB1FE7">
              <w:rPr>
                <w:rFonts w:ascii="Verdana" w:hAnsi="Verdana" w:cs="Tahoma"/>
                <w:sz w:val="16"/>
                <w:szCs w:val="16"/>
                <w:lang w:val="es-ES_tradnl"/>
              </w:rPr>
              <w:t xml:space="preserve"> que </w:t>
            </w:r>
            <w:r w:rsidRPr="00FB1FE7">
              <w:rPr>
                <w:rFonts w:ascii="Verdana" w:hAnsi="Verdana" w:cs="Tahoma"/>
                <w:sz w:val="16"/>
                <w:szCs w:val="16"/>
                <w:lang w:val="es-ES_tradnl"/>
              </w:rPr>
              <w:t xml:space="preserve">estos </w:t>
            </w:r>
            <w:r w:rsidR="00B86C6B" w:rsidRPr="00FB1FE7">
              <w:rPr>
                <w:rFonts w:ascii="Verdana" w:hAnsi="Verdana" w:cs="Tahoma"/>
                <w:sz w:val="16"/>
                <w:szCs w:val="16"/>
                <w:lang w:val="es-ES_tradnl"/>
              </w:rPr>
              <w:t>se mantienen dentro de los límites autorizados.</w:t>
            </w:r>
            <w:r w:rsidR="00673F18" w:rsidRPr="00FB1FE7">
              <w:rPr>
                <w:rFonts w:ascii="Verdana" w:hAnsi="Verdana" w:cs="Tahoma"/>
                <w:sz w:val="16"/>
                <w:szCs w:val="16"/>
                <w:lang w:val="es-ES_tradnl"/>
              </w:rPr>
              <w:t xml:space="preserve"> </w:t>
            </w:r>
            <w:r w:rsidR="00B86C6B" w:rsidRPr="00FB1FE7">
              <w:rPr>
                <w:rFonts w:ascii="Verdana" w:hAnsi="Verdana" w:cs="Tahoma"/>
                <w:sz w:val="16"/>
                <w:szCs w:val="16"/>
                <w:lang w:val="es-ES_tradnl"/>
              </w:rPr>
              <w:t>Los plaguicidas no se concentran en la glicerina.</w:t>
            </w:r>
          </w:p>
        </w:tc>
        <w:tc>
          <w:tcPr>
            <w:tcW w:w="1952" w:type="dxa"/>
            <w:tcMar>
              <w:top w:w="85" w:type="dxa"/>
              <w:bottom w:w="85" w:type="dxa"/>
            </w:tcMar>
          </w:tcPr>
          <w:p w:rsidR="00B86C6B" w:rsidRPr="00FB1FE7" w:rsidRDefault="00B86C6B" w:rsidP="009533E3">
            <w:pPr>
              <w:rPr>
                <w:rFonts w:ascii="Verdana" w:hAnsi="Verdana" w:cs="Tahoma"/>
                <w:iCs/>
                <w:sz w:val="16"/>
                <w:szCs w:val="16"/>
                <w:lang w:val="es-ES_tradnl"/>
              </w:rPr>
            </w:pPr>
            <w:r w:rsidRPr="00FB1FE7">
              <w:rPr>
                <w:rFonts w:ascii="Verdana" w:hAnsi="Verdana" w:cs="Tahoma"/>
                <w:sz w:val="16"/>
                <w:szCs w:val="16"/>
                <w:lang w:val="es-ES_tradnl"/>
              </w:rPr>
              <w:t>Reglamento (CE) nº</w:t>
            </w:r>
            <w:r w:rsidR="009533E3" w:rsidRPr="00FB1FE7">
              <w:rPr>
                <w:rFonts w:ascii="Verdana" w:hAnsi="Verdana" w:cs="Tahoma"/>
                <w:sz w:val="16"/>
                <w:szCs w:val="16"/>
                <w:lang w:val="es-ES_tradnl"/>
              </w:rPr>
              <w:t> </w:t>
            </w:r>
            <w:r w:rsidRPr="00FB1FE7">
              <w:rPr>
                <w:rFonts w:ascii="Verdana" w:hAnsi="Verdana" w:cs="Tahoma"/>
                <w:sz w:val="16"/>
                <w:szCs w:val="16"/>
                <w:lang w:val="es-ES_tradnl"/>
              </w:rPr>
              <w:t xml:space="preserve">396/2005 relativo a los límites máximos de residuos de plaguicidas. </w:t>
            </w:r>
          </w:p>
        </w:tc>
        <w:tc>
          <w:tcPr>
            <w:tcW w:w="1984" w:type="dxa"/>
            <w:tcMar>
              <w:top w:w="85" w:type="dxa"/>
              <w:bottom w:w="85" w:type="dxa"/>
            </w:tcMar>
          </w:tcPr>
          <w:p w:rsidR="00B86C6B" w:rsidRPr="00FB1FE7" w:rsidRDefault="00B86C6B" w:rsidP="00BE596F">
            <w:pPr>
              <w:rPr>
                <w:rFonts w:ascii="Verdana" w:hAnsi="Verdana" w:cs="Tahoma"/>
                <w:iCs/>
                <w:sz w:val="16"/>
                <w:szCs w:val="16"/>
                <w:lang w:val="es-ES_tradnl"/>
              </w:rPr>
            </w:pPr>
          </w:p>
        </w:tc>
        <w:tc>
          <w:tcPr>
            <w:tcW w:w="2694" w:type="dxa"/>
            <w:gridSpan w:val="2"/>
            <w:tcMar>
              <w:top w:w="85" w:type="dxa"/>
              <w:bottom w:w="85" w:type="dxa"/>
            </w:tcMar>
          </w:tcPr>
          <w:p w:rsidR="00B86C6B" w:rsidRPr="00FB1FE7" w:rsidRDefault="00B86C6B" w:rsidP="00BE596F">
            <w:pPr>
              <w:rPr>
                <w:rFonts w:ascii="Verdana" w:hAnsi="Verdana" w:cs="Tahoma"/>
                <w:sz w:val="16"/>
                <w:szCs w:val="16"/>
                <w:lang w:val="es-ES_tradnl"/>
              </w:rPr>
            </w:pPr>
          </w:p>
        </w:tc>
      </w:tr>
      <w:tr w:rsidR="00FA07B5" w:rsidRPr="00F508C9" w:rsidTr="009533E3">
        <w:tc>
          <w:tcPr>
            <w:tcW w:w="1668" w:type="dxa"/>
            <w:tcMar>
              <w:top w:w="85" w:type="dxa"/>
              <w:bottom w:w="85" w:type="dxa"/>
            </w:tcMar>
          </w:tcPr>
          <w:p w:rsidR="00FA07B5" w:rsidRPr="00FB1FE7" w:rsidRDefault="004C162B"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Contaminación causada por el proceso de recuperación de la sal (durante la neutralización de la glicerina) </w:t>
            </w:r>
          </w:p>
        </w:tc>
        <w:tc>
          <w:tcPr>
            <w:tcW w:w="870" w:type="dxa"/>
            <w:tcMar>
              <w:top w:w="85" w:type="dxa"/>
              <w:bottom w:w="85" w:type="dxa"/>
            </w:tcMar>
          </w:tcPr>
          <w:p w:rsidR="00FA07B5"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72" w:type="dxa"/>
            <w:tcMar>
              <w:top w:w="85" w:type="dxa"/>
              <w:bottom w:w="85" w:type="dxa"/>
            </w:tcMar>
          </w:tcPr>
          <w:p w:rsidR="00FA07B5" w:rsidRPr="00FB1FE7" w:rsidRDefault="00FA07B5"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Mar>
              <w:top w:w="85" w:type="dxa"/>
              <w:bottom w:w="85" w:type="dxa"/>
            </w:tcMar>
          </w:tcPr>
          <w:p w:rsidR="00FA07B5" w:rsidRPr="00FB1FE7" w:rsidRDefault="00FA07B5"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992" w:type="dxa"/>
            <w:tcMar>
              <w:top w:w="85" w:type="dxa"/>
              <w:bottom w:w="85" w:type="dxa"/>
            </w:tcMar>
          </w:tcPr>
          <w:p w:rsidR="00FA07B5" w:rsidRPr="00FB1FE7" w:rsidRDefault="00633719" w:rsidP="00BE596F">
            <w:pPr>
              <w:jc w:val="center"/>
              <w:rPr>
                <w:rFonts w:ascii="Verdana" w:hAnsi="Verdana" w:cs="Tahoma"/>
                <w:sz w:val="16"/>
                <w:szCs w:val="16"/>
                <w:lang w:val="es-ES_tradnl"/>
              </w:rPr>
            </w:pPr>
            <w:r w:rsidRPr="00FB1FE7">
              <w:rPr>
                <w:rFonts w:ascii="Verdana" w:hAnsi="Verdana" w:cs="Tahoma"/>
                <w:sz w:val="16"/>
                <w:szCs w:val="16"/>
                <w:lang w:val="es-ES_tradnl"/>
              </w:rPr>
              <w:t>1</w:t>
            </w:r>
          </w:p>
        </w:tc>
        <w:tc>
          <w:tcPr>
            <w:tcW w:w="2159" w:type="dxa"/>
            <w:tcMar>
              <w:top w:w="85" w:type="dxa"/>
              <w:bottom w:w="85" w:type="dxa"/>
            </w:tcMar>
          </w:tcPr>
          <w:p w:rsidR="00FA07B5" w:rsidRPr="00FB1FE7" w:rsidRDefault="004C162B" w:rsidP="00C71A67">
            <w:pPr>
              <w:rPr>
                <w:rFonts w:ascii="Verdana" w:hAnsi="Verdana" w:cs="Tahoma"/>
                <w:sz w:val="16"/>
                <w:szCs w:val="16"/>
                <w:lang w:val="es-ES_tradnl"/>
              </w:rPr>
            </w:pPr>
            <w:r w:rsidRPr="00FB1FE7">
              <w:rPr>
                <w:rFonts w:ascii="Verdana" w:hAnsi="Verdana" w:cs="Tahoma"/>
                <w:sz w:val="16"/>
                <w:szCs w:val="16"/>
                <w:lang w:val="es-ES_tradnl"/>
              </w:rPr>
              <w:t>El NaCl (sal) casi siempre se disuelve en la glicerina bruta y no forma un subproducto sólido.</w:t>
            </w:r>
          </w:p>
        </w:tc>
        <w:tc>
          <w:tcPr>
            <w:tcW w:w="1952" w:type="dxa"/>
            <w:tcMar>
              <w:top w:w="85" w:type="dxa"/>
              <w:bottom w:w="85" w:type="dxa"/>
            </w:tcMar>
          </w:tcPr>
          <w:p w:rsidR="00FA07B5" w:rsidRPr="00FB1FE7" w:rsidRDefault="00FA07B5" w:rsidP="00BE596F">
            <w:pPr>
              <w:rPr>
                <w:rFonts w:ascii="Verdana" w:hAnsi="Verdana" w:cs="Tahoma"/>
                <w:sz w:val="16"/>
                <w:szCs w:val="16"/>
                <w:lang w:val="es-ES_tradnl"/>
              </w:rPr>
            </w:pPr>
          </w:p>
        </w:tc>
        <w:tc>
          <w:tcPr>
            <w:tcW w:w="1984" w:type="dxa"/>
            <w:tcMar>
              <w:top w:w="85" w:type="dxa"/>
              <w:bottom w:w="85" w:type="dxa"/>
            </w:tcMar>
          </w:tcPr>
          <w:p w:rsidR="00FA07B5" w:rsidRPr="00FB1FE7" w:rsidRDefault="00FA07B5" w:rsidP="00BE596F">
            <w:pPr>
              <w:rPr>
                <w:rFonts w:ascii="Verdana" w:hAnsi="Verdana" w:cs="Tahoma"/>
                <w:iCs/>
                <w:sz w:val="16"/>
                <w:szCs w:val="16"/>
                <w:lang w:val="es-ES_tradnl"/>
              </w:rPr>
            </w:pPr>
          </w:p>
        </w:tc>
        <w:tc>
          <w:tcPr>
            <w:tcW w:w="2694" w:type="dxa"/>
            <w:gridSpan w:val="2"/>
            <w:tcMar>
              <w:top w:w="85" w:type="dxa"/>
              <w:bottom w:w="85" w:type="dxa"/>
            </w:tcMar>
          </w:tcPr>
          <w:p w:rsidR="00FA07B5" w:rsidRPr="00FB1FE7" w:rsidRDefault="004C162B" w:rsidP="00BE596F">
            <w:pPr>
              <w:rPr>
                <w:rFonts w:ascii="Verdana" w:hAnsi="Verdana" w:cs="Tahoma"/>
                <w:sz w:val="16"/>
                <w:szCs w:val="16"/>
                <w:lang w:val="es-ES_tradnl"/>
              </w:rPr>
            </w:pPr>
            <w:r w:rsidRPr="00FB1FE7">
              <w:rPr>
                <w:rFonts w:ascii="Verdana" w:hAnsi="Verdana" w:cs="Tahoma"/>
                <w:sz w:val="16"/>
                <w:szCs w:val="16"/>
                <w:lang w:val="es-ES_tradnl"/>
              </w:rPr>
              <w:t>Posibilidad de recuperar la sal para su uso como fertilizante.</w:t>
            </w:r>
          </w:p>
        </w:tc>
      </w:tr>
      <w:tr w:rsidR="008551A2" w:rsidRPr="00F508C9" w:rsidTr="009533E3">
        <w:tc>
          <w:tcPr>
            <w:tcW w:w="1668" w:type="dxa"/>
            <w:tcMar>
              <w:top w:w="85" w:type="dxa"/>
              <w:bottom w:w="85" w:type="dxa"/>
            </w:tcMar>
          </w:tcPr>
          <w:p w:rsidR="00A25223" w:rsidRPr="0098367C" w:rsidRDefault="00A25223" w:rsidP="00BE596F">
            <w:pPr>
              <w:rPr>
                <w:rFonts w:ascii="Verdana" w:hAnsi="Verdana" w:cs="Tahoma"/>
                <w:b/>
                <w:bCs/>
                <w:sz w:val="16"/>
                <w:szCs w:val="16"/>
                <w:lang w:val="pt-PT"/>
              </w:rPr>
            </w:pPr>
            <w:r w:rsidRPr="0098367C">
              <w:rPr>
                <w:rFonts w:ascii="Verdana" w:hAnsi="Verdana" w:cs="Tahoma"/>
                <w:b/>
                <w:bCs/>
                <w:sz w:val="16"/>
                <w:szCs w:val="16"/>
                <w:lang w:val="pt-PT"/>
              </w:rPr>
              <w:t>Suministro de materia grasa - etiquetado correcto</w:t>
            </w:r>
          </w:p>
          <w:p w:rsidR="00A25223" w:rsidRPr="0098367C" w:rsidRDefault="00A25223" w:rsidP="00BE596F">
            <w:pPr>
              <w:rPr>
                <w:rFonts w:ascii="Verdana" w:hAnsi="Verdana" w:cs="Tahoma"/>
                <w:b/>
                <w:bCs/>
                <w:sz w:val="16"/>
                <w:szCs w:val="16"/>
                <w:lang w:val="pt-PT"/>
              </w:rPr>
            </w:pPr>
          </w:p>
        </w:tc>
        <w:tc>
          <w:tcPr>
            <w:tcW w:w="870" w:type="dxa"/>
            <w:tcMar>
              <w:top w:w="85" w:type="dxa"/>
              <w:bottom w:w="85" w:type="dxa"/>
            </w:tcMar>
          </w:tcPr>
          <w:p w:rsidR="008551A2" w:rsidRPr="0098367C" w:rsidRDefault="008551A2" w:rsidP="00BE596F">
            <w:pPr>
              <w:jc w:val="center"/>
              <w:rPr>
                <w:rFonts w:ascii="Verdana" w:hAnsi="Verdana" w:cs="Tahoma"/>
                <w:sz w:val="16"/>
                <w:szCs w:val="16"/>
                <w:lang w:val="pt-PT"/>
              </w:rPr>
            </w:pPr>
          </w:p>
        </w:tc>
        <w:tc>
          <w:tcPr>
            <w:tcW w:w="972" w:type="dxa"/>
            <w:tcMar>
              <w:top w:w="85" w:type="dxa"/>
              <w:bottom w:w="85" w:type="dxa"/>
            </w:tcMar>
          </w:tcPr>
          <w:p w:rsidR="00A25223" w:rsidRPr="00FB1FE7" w:rsidRDefault="00A25223"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1418" w:type="dxa"/>
            <w:tcMar>
              <w:top w:w="85" w:type="dxa"/>
              <w:bottom w:w="85" w:type="dxa"/>
            </w:tcMar>
          </w:tcPr>
          <w:p w:rsidR="00A25223" w:rsidRPr="00FB1FE7" w:rsidRDefault="00A25223"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shd w:val="clear" w:color="auto" w:fill="FF0000"/>
            <w:tcMar>
              <w:top w:w="85" w:type="dxa"/>
              <w:bottom w:w="85" w:type="dxa"/>
            </w:tcMar>
          </w:tcPr>
          <w:p w:rsidR="008551A2" w:rsidRPr="00FB1FE7" w:rsidRDefault="00565264" w:rsidP="00BE596F">
            <w:pPr>
              <w:jc w:val="center"/>
              <w:rPr>
                <w:rFonts w:ascii="Verdana" w:hAnsi="Verdana" w:cs="Tahoma"/>
                <w:sz w:val="16"/>
                <w:szCs w:val="16"/>
                <w:lang w:val="es-ES_tradnl"/>
              </w:rPr>
            </w:pPr>
            <w:r w:rsidRPr="00FB1FE7">
              <w:rPr>
                <w:rFonts w:ascii="Verdana" w:hAnsi="Verdana" w:cs="Tahoma"/>
                <w:sz w:val="16"/>
                <w:szCs w:val="16"/>
                <w:lang w:val="es-ES_tradnl"/>
              </w:rPr>
              <w:t>4</w:t>
            </w:r>
          </w:p>
        </w:tc>
        <w:tc>
          <w:tcPr>
            <w:tcW w:w="2159" w:type="dxa"/>
            <w:tcMar>
              <w:top w:w="85" w:type="dxa"/>
              <w:bottom w:w="85" w:type="dxa"/>
            </w:tcMar>
          </w:tcPr>
          <w:p w:rsidR="008551A2" w:rsidRPr="00FB1FE7" w:rsidRDefault="008551A2" w:rsidP="00BE596F">
            <w:pPr>
              <w:rPr>
                <w:rFonts w:ascii="Verdana" w:hAnsi="Verdana" w:cs="Tahoma"/>
                <w:sz w:val="16"/>
                <w:szCs w:val="16"/>
                <w:lang w:val="es-ES_tradnl"/>
              </w:rPr>
            </w:pPr>
          </w:p>
        </w:tc>
        <w:tc>
          <w:tcPr>
            <w:tcW w:w="1952" w:type="dxa"/>
            <w:tcMar>
              <w:top w:w="85" w:type="dxa"/>
              <w:bottom w:w="85" w:type="dxa"/>
            </w:tcMar>
          </w:tcPr>
          <w:p w:rsidR="008551A2" w:rsidRPr="00FB1FE7" w:rsidRDefault="008551A2" w:rsidP="00BE596F">
            <w:pPr>
              <w:rPr>
                <w:rFonts w:ascii="Verdana" w:hAnsi="Verdana" w:cs="Tahoma"/>
                <w:sz w:val="16"/>
                <w:szCs w:val="16"/>
                <w:lang w:val="es-ES_tradnl"/>
              </w:rPr>
            </w:pPr>
          </w:p>
        </w:tc>
        <w:tc>
          <w:tcPr>
            <w:tcW w:w="1984" w:type="dxa"/>
            <w:tcMar>
              <w:top w:w="85" w:type="dxa"/>
              <w:bottom w:w="85" w:type="dxa"/>
            </w:tcMar>
          </w:tcPr>
          <w:p w:rsidR="00A25223" w:rsidRPr="00FB1FE7" w:rsidRDefault="00A25223" w:rsidP="00BE596F">
            <w:pPr>
              <w:rPr>
                <w:rFonts w:ascii="Verdana" w:hAnsi="Verdana" w:cs="Tahoma"/>
                <w:iCs/>
                <w:sz w:val="16"/>
                <w:szCs w:val="16"/>
                <w:lang w:val="es-ES_tradnl"/>
              </w:rPr>
            </w:pPr>
            <w:r w:rsidRPr="00FB1FE7">
              <w:rPr>
                <w:rFonts w:ascii="Verdana" w:hAnsi="Verdana"/>
                <w:sz w:val="16"/>
                <w:szCs w:val="16"/>
                <w:lang w:val="es-ES_tradnl"/>
              </w:rPr>
              <w:t xml:space="preserve">Cuando se comercialice la materia grasa obtenida como </w:t>
            </w:r>
            <w:r w:rsidRPr="00FB1FE7">
              <w:rPr>
                <w:rFonts w:ascii="Verdana" w:hAnsi="Verdana"/>
                <w:sz w:val="16"/>
                <w:szCs w:val="16"/>
                <w:lang w:val="es-ES_tradnl"/>
              </w:rPr>
              <w:lastRenderedPageBreak/>
              <w:t>subproducto, deberá etiquetarse como «no autorizada para la alimentación humana o animal», para garantizar que no se utilice en el sector de los piensos.</w:t>
            </w:r>
          </w:p>
        </w:tc>
        <w:tc>
          <w:tcPr>
            <w:tcW w:w="2694" w:type="dxa"/>
            <w:gridSpan w:val="2"/>
            <w:tcMar>
              <w:top w:w="85" w:type="dxa"/>
              <w:bottom w:w="85" w:type="dxa"/>
            </w:tcMar>
          </w:tcPr>
          <w:p w:rsidR="00A25223" w:rsidRPr="00FB1FE7" w:rsidRDefault="00A25223" w:rsidP="00BE596F">
            <w:pPr>
              <w:rPr>
                <w:rFonts w:ascii="Verdana" w:hAnsi="Verdana"/>
                <w:sz w:val="16"/>
                <w:szCs w:val="16"/>
                <w:lang w:val="es-ES_tradnl"/>
              </w:rPr>
            </w:pPr>
            <w:r w:rsidRPr="00FB1FE7">
              <w:rPr>
                <w:rFonts w:ascii="Verdana" w:hAnsi="Verdana"/>
                <w:sz w:val="16"/>
                <w:szCs w:val="16"/>
                <w:lang w:val="es-ES_tradnl"/>
              </w:rPr>
              <w:lastRenderedPageBreak/>
              <w:t xml:space="preserve">Está prohibido utilizar para la fabricación de piensos los ácidos grasos con ésteres metílicos (denominados </w:t>
            </w:r>
            <w:r w:rsidRPr="00FB1FE7">
              <w:rPr>
                <w:rFonts w:ascii="Verdana" w:hAnsi="Verdana"/>
                <w:sz w:val="16"/>
                <w:szCs w:val="16"/>
                <w:lang w:val="es-ES_tradnl"/>
              </w:rPr>
              <w:lastRenderedPageBreak/>
              <w:t>también materia grasa) obtenidos tras la recuperación del metanol en la fabricación del biodiésel, dado que los aditivos lipofílicos empleados en dicha fabricación se concentran en los ácidos grasos.</w:t>
            </w:r>
          </w:p>
          <w:p w:rsidR="008551A2" w:rsidRPr="00FB1FE7" w:rsidRDefault="008551A2" w:rsidP="00BE596F">
            <w:pPr>
              <w:rPr>
                <w:rFonts w:ascii="Verdana" w:hAnsi="Verdana" w:cs="Tahoma"/>
                <w:sz w:val="16"/>
                <w:szCs w:val="16"/>
                <w:lang w:val="es-ES_tradnl"/>
              </w:rPr>
            </w:pPr>
          </w:p>
        </w:tc>
      </w:tr>
    </w:tbl>
    <w:p w:rsidR="004E54A8" w:rsidRPr="00FB1FE7" w:rsidRDefault="004E54A8" w:rsidP="00BE596F">
      <w:pPr>
        <w:rPr>
          <w:rFonts w:ascii="Verdana" w:hAnsi="Verdana" w:cs="Tahoma"/>
          <w:sz w:val="14"/>
          <w:szCs w:val="14"/>
          <w:lang w:val="es-ES_tradnl"/>
        </w:rPr>
      </w:pPr>
    </w:p>
    <w:p w:rsidR="00673F18" w:rsidRPr="00FB1FE7" w:rsidRDefault="00673F18" w:rsidP="00BE596F">
      <w:pPr>
        <w:rPr>
          <w:rFonts w:ascii="Verdana" w:hAnsi="Verdana" w:cs="Tahoma"/>
          <w:sz w:val="14"/>
          <w:szCs w:val="14"/>
          <w:lang w:val="es-ES_tradnl"/>
        </w:rPr>
      </w:pPr>
    </w:p>
    <w:p w:rsidR="00673F18" w:rsidRPr="00841F1C" w:rsidRDefault="00673F18">
      <w:pPr>
        <w:rPr>
          <w:lang w:val="es-ES"/>
        </w:rPr>
      </w:pPr>
      <w:r w:rsidRPr="00841F1C">
        <w:rPr>
          <w:lang w:val="es-ES"/>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6"/>
        <w:gridCol w:w="1006"/>
        <w:gridCol w:w="1276"/>
        <w:gridCol w:w="992"/>
        <w:gridCol w:w="2694"/>
        <w:gridCol w:w="1701"/>
        <w:gridCol w:w="2409"/>
        <w:gridCol w:w="2127"/>
      </w:tblGrid>
      <w:tr w:rsidR="00C724B8" w:rsidRPr="00FB1FE7" w:rsidTr="00673F18">
        <w:tc>
          <w:tcPr>
            <w:tcW w:w="4786" w:type="dxa"/>
            <w:gridSpan w:val="4"/>
            <w:tcBorders>
              <w:bottom w:val="single" w:sz="4" w:space="0" w:color="auto"/>
            </w:tcBorders>
            <w:shd w:val="clear" w:color="auto" w:fill="0DA72A"/>
            <w:tcMar>
              <w:top w:w="57" w:type="dxa"/>
              <w:bottom w:w="57" w:type="dxa"/>
            </w:tcMar>
            <w:vAlign w:val="center"/>
          </w:tcPr>
          <w:p w:rsidR="00C724B8" w:rsidRPr="00FB1FE7" w:rsidRDefault="004E54A8" w:rsidP="00673F18">
            <w:pPr>
              <w:spacing w:before="20" w:after="20"/>
              <w:ind w:left="85" w:right="85"/>
              <w:rPr>
                <w:rFonts w:ascii="Verdana" w:hAnsi="Verdana"/>
                <w:b/>
                <w:color w:val="FFFFFF"/>
                <w:sz w:val="32"/>
                <w:szCs w:val="32"/>
                <w:lang w:val="es-ES_tradnl"/>
              </w:rPr>
            </w:pPr>
            <w:r w:rsidRPr="00FB1FE7">
              <w:rPr>
                <w:rFonts w:ascii="Verdana" w:hAnsi="Verdana" w:cs="Tahoma"/>
                <w:sz w:val="14"/>
                <w:szCs w:val="14"/>
                <w:lang w:val="es-ES_tradnl"/>
              </w:rPr>
              <w:lastRenderedPageBreak/>
              <w:br w:type="page"/>
            </w:r>
            <w:r w:rsidR="00E80F73" w:rsidRPr="00FB1FE7">
              <w:rPr>
                <w:rFonts w:ascii="Verdana" w:hAnsi="Verdana"/>
                <w:b/>
                <w:color w:val="FFFFFF"/>
                <w:sz w:val="32"/>
                <w:szCs w:val="32"/>
                <w:lang w:val="es-ES_tradnl"/>
              </w:rPr>
              <w:t>8. Enfoque basado en el riesgo aplicado a la glicerina</w:t>
            </w:r>
          </w:p>
        </w:tc>
        <w:tc>
          <w:tcPr>
            <w:tcW w:w="9923" w:type="dxa"/>
            <w:gridSpan w:val="5"/>
            <w:tcBorders>
              <w:left w:val="nil"/>
              <w:bottom w:val="single" w:sz="4" w:space="0" w:color="auto"/>
            </w:tcBorders>
            <w:shd w:val="clear" w:color="auto" w:fill="0DA72A"/>
            <w:tcMar>
              <w:top w:w="57" w:type="dxa"/>
              <w:bottom w:w="57" w:type="dxa"/>
            </w:tcMar>
          </w:tcPr>
          <w:p w:rsidR="00C724B8" w:rsidRPr="00FB1FE7" w:rsidRDefault="00B87D01" w:rsidP="00BE596F">
            <w:pPr>
              <w:spacing w:before="20" w:after="20"/>
              <w:ind w:left="85" w:right="85"/>
              <w:rPr>
                <w:rFonts w:ascii="Verdana" w:hAnsi="Verdana" w:cs="Tahoma"/>
                <w:b/>
                <w:color w:val="FFFFFF"/>
                <w:sz w:val="28"/>
                <w:szCs w:val="28"/>
                <w:lang w:val="es-ES_tradnl"/>
              </w:rPr>
            </w:pPr>
            <w:r w:rsidRPr="00FB1FE7">
              <w:rPr>
                <w:rFonts w:ascii="Verdana" w:hAnsi="Verdana" w:cs="Tahoma"/>
                <w:b/>
                <w:color w:val="FFFFFF"/>
                <w:sz w:val="28"/>
                <w:szCs w:val="28"/>
                <w:lang w:val="es-ES_tradnl"/>
              </w:rPr>
              <w:t>7. Almacenamiento</w:t>
            </w:r>
          </w:p>
        </w:tc>
      </w:tr>
      <w:tr w:rsidR="00B86C6B" w:rsidRPr="00FB1FE7" w:rsidTr="009533E3">
        <w:tc>
          <w:tcPr>
            <w:tcW w:w="166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36"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1006"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276"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694"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1701"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Y/O CLÁUSULAS CONTRACTUALES </w:t>
            </w:r>
          </w:p>
        </w:tc>
        <w:tc>
          <w:tcPr>
            <w:tcW w:w="2409"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2127"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B86C6B" w:rsidRPr="00FB1FE7" w:rsidTr="009533E3">
        <w:tc>
          <w:tcPr>
            <w:tcW w:w="1668" w:type="dxa"/>
            <w:tcBorders>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Contaminación causada por la falta de separación </w:t>
            </w:r>
          </w:p>
        </w:tc>
        <w:tc>
          <w:tcPr>
            <w:tcW w:w="836" w:type="dxa"/>
            <w:tcBorders>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1006" w:type="dxa"/>
            <w:tcBorders>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276" w:type="dxa"/>
            <w:tcBorders>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694"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1701"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409" w:type="dxa"/>
            <w:tcBorders>
              <w:bottom w:val="single" w:sz="4" w:space="0" w:color="auto"/>
            </w:tcBorders>
            <w:tcMar>
              <w:top w:w="85" w:type="dxa"/>
              <w:bottom w:w="85" w:type="dxa"/>
            </w:tcMar>
          </w:tcPr>
          <w:p w:rsidR="0052268B" w:rsidRPr="00FB1FE7" w:rsidRDefault="00CE6A2B" w:rsidP="00BE596F">
            <w:pPr>
              <w:rPr>
                <w:rFonts w:ascii="Verdana" w:hAnsi="Verdana" w:cs="Tahoma"/>
                <w:sz w:val="16"/>
                <w:szCs w:val="16"/>
                <w:lang w:val="es-ES_tradnl"/>
              </w:rPr>
            </w:pPr>
            <w:r w:rsidRPr="00FB1FE7">
              <w:rPr>
                <w:rFonts w:ascii="Verdana" w:hAnsi="Verdana" w:cs="Tahoma"/>
                <w:sz w:val="16"/>
                <w:szCs w:val="16"/>
                <w:lang w:val="es-ES_tradnl"/>
              </w:rPr>
              <w:t xml:space="preserve">Establecimiento de procedimientos de almacenaje para reducir el riesgo de contaminación cruzada. </w:t>
            </w:r>
          </w:p>
          <w:p w:rsidR="0052268B" w:rsidRPr="00FB1FE7" w:rsidRDefault="0052268B" w:rsidP="00BE596F">
            <w:pPr>
              <w:rPr>
                <w:rFonts w:ascii="Verdana" w:hAnsi="Verdana" w:cs="Tahoma"/>
                <w:sz w:val="16"/>
                <w:szCs w:val="16"/>
                <w:lang w:val="es-ES_tradnl"/>
              </w:rPr>
            </w:pPr>
            <w:r w:rsidRPr="00FB1FE7">
              <w:rPr>
                <w:rFonts w:ascii="Verdana" w:hAnsi="Verdana" w:cs="Tahoma"/>
                <w:sz w:val="16"/>
                <w:szCs w:val="16"/>
                <w:lang w:val="es-ES_tradnl"/>
              </w:rPr>
              <w:t>Depósitos separados.</w:t>
            </w:r>
          </w:p>
        </w:tc>
        <w:tc>
          <w:tcPr>
            <w:tcW w:w="2127"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c>
          <w:tcPr>
            <w:tcW w:w="1668" w:type="dxa"/>
            <w:tcBorders>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con productos de limpieza</w:t>
            </w:r>
          </w:p>
        </w:tc>
        <w:tc>
          <w:tcPr>
            <w:tcW w:w="836" w:type="dxa"/>
            <w:tcBorders>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1006" w:type="dxa"/>
            <w:tcBorders>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276"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Media</w:t>
            </w:r>
          </w:p>
        </w:tc>
        <w:tc>
          <w:tcPr>
            <w:tcW w:w="992"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 2</w:t>
            </w:r>
          </w:p>
        </w:tc>
        <w:tc>
          <w:tcPr>
            <w:tcW w:w="2694" w:type="dxa"/>
            <w:tcBorders>
              <w:bottom w:val="single" w:sz="4" w:space="0" w:color="auto"/>
            </w:tcBorders>
            <w:tcMar>
              <w:top w:w="85" w:type="dxa"/>
              <w:bottom w:w="85" w:type="dxa"/>
            </w:tcMar>
          </w:tcPr>
          <w:p w:rsidR="00B86C6B" w:rsidRPr="00FB1FE7" w:rsidRDefault="00B86C6B" w:rsidP="00C71A67">
            <w:pPr>
              <w:rPr>
                <w:rFonts w:ascii="Verdana" w:hAnsi="Verdana" w:cs="Tahoma"/>
                <w:sz w:val="16"/>
                <w:szCs w:val="16"/>
                <w:lang w:val="es-ES_tradnl"/>
              </w:rPr>
            </w:pPr>
            <w:r w:rsidRPr="00FB1FE7">
              <w:rPr>
                <w:rFonts w:ascii="Verdana" w:hAnsi="Verdana" w:cs="Tahoma"/>
                <w:sz w:val="16"/>
                <w:szCs w:val="16"/>
                <w:lang w:val="es-ES_tradnl"/>
              </w:rPr>
              <w:t xml:space="preserve">Esta clasificación de riesgo se aplica a los terminales de carga que almacenan tanto productos químicos como aceites vegetales. Es posible que los operadores no estén utilizando productos de limpieza idóneos para su uso en la industria alimentaria. </w:t>
            </w:r>
            <w:r w:rsidR="00C71A67" w:rsidRPr="00FB1FE7">
              <w:rPr>
                <w:rFonts w:ascii="Verdana" w:hAnsi="Verdana" w:cs="Tahoma"/>
                <w:sz w:val="16"/>
                <w:szCs w:val="16"/>
                <w:lang w:val="es-ES_tradnl"/>
              </w:rPr>
              <w:t xml:space="preserve">En </w:t>
            </w:r>
            <w:r w:rsidRPr="00FB1FE7">
              <w:rPr>
                <w:rFonts w:ascii="Verdana" w:hAnsi="Verdana" w:cs="Tahoma"/>
                <w:sz w:val="16"/>
                <w:szCs w:val="16"/>
                <w:lang w:val="es-ES_tradnl"/>
              </w:rPr>
              <w:t>los terminales de carga de cisternas de la UE que aplican el sistema HACCP y que almacenan por separado los aceites vegetales y los productos químicos, la probabilidad de utilizar productos de limpieza inadecuados es muy baja.</w:t>
            </w:r>
          </w:p>
        </w:tc>
        <w:tc>
          <w:tcPr>
            <w:tcW w:w="1701"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409" w:type="dxa"/>
            <w:tcBorders>
              <w:bottom w:val="single" w:sz="4" w:space="0" w:color="auto"/>
            </w:tcBorders>
            <w:tcMar>
              <w:top w:w="85" w:type="dxa"/>
              <w:bottom w:w="85" w:type="dxa"/>
            </w:tcMar>
          </w:tcPr>
          <w:p w:rsidR="00B86C6B" w:rsidRPr="00FB1FE7" w:rsidRDefault="001E05FE" w:rsidP="00BE596F">
            <w:pPr>
              <w:rPr>
                <w:rFonts w:ascii="Verdana" w:hAnsi="Verdana" w:cs="Tahoma"/>
                <w:sz w:val="16"/>
                <w:szCs w:val="16"/>
                <w:lang w:val="es-ES_tradnl"/>
              </w:rPr>
            </w:pPr>
            <w:r w:rsidRPr="00FB1FE7">
              <w:rPr>
                <w:rFonts w:ascii="Verdana" w:hAnsi="Verdana" w:cs="Tahoma"/>
                <w:sz w:val="16"/>
                <w:szCs w:val="16"/>
                <w:lang w:val="es-ES_tradnl"/>
              </w:rPr>
              <w:t xml:space="preserve">Los productos de limpieza utilizados deberán evaluarse, adoptando las medidas apropiadas para reducir el riesgo hasta un nivel aceptable. </w:t>
            </w:r>
          </w:p>
        </w:tc>
        <w:tc>
          <w:tcPr>
            <w:tcW w:w="2127"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c>
          <w:tcPr>
            <w:tcW w:w="1668"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Fluidos de calefacción procedentes de equipos averiados</w:t>
            </w:r>
          </w:p>
        </w:tc>
        <w:tc>
          <w:tcPr>
            <w:tcW w:w="836" w:type="dxa"/>
            <w:tcBorders>
              <w:top w:val="single" w:sz="4" w:space="0" w:color="auto"/>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1006"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276"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694"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Es posible que todavía se estén utilizando fluidos térmicos para calefacción con propiedades tóxicas. Sin embargo, debido a las temperaturas relativamente bajas aplicadas durante el almacenamiento, la probabilidad de filtraciones en el producto de fluidos de calefacción es baja.</w:t>
            </w:r>
          </w:p>
        </w:tc>
        <w:tc>
          <w:tcPr>
            <w:tcW w:w="1701"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4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 xml:space="preserve">Cuando se utilicen fluidos térmicos para calefacción, la empresa distribuidora deberá facilitar la documentación relativa a las pérdidas netas y realizar los análisis pertinentes en caso necesario. </w:t>
            </w: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Se recomienda la utilización de agua o vapor. Los fluidos térmicos para calefacción no son de uso común.</w:t>
            </w:r>
          </w:p>
        </w:tc>
      </w:tr>
      <w:tr w:rsidR="00B86C6B" w:rsidRPr="00FB1FE7" w:rsidTr="009533E3">
        <w:tc>
          <w:tcPr>
            <w:tcW w:w="1668"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Contaminación </w:t>
            </w:r>
            <w:r w:rsidRPr="00FB1FE7">
              <w:rPr>
                <w:rFonts w:ascii="Verdana" w:hAnsi="Verdana" w:cs="Tahoma"/>
                <w:b/>
                <w:bCs/>
                <w:sz w:val="16"/>
                <w:szCs w:val="16"/>
                <w:lang w:val="es-ES_tradnl"/>
              </w:rPr>
              <w:lastRenderedPageBreak/>
              <w:t>cruzada</w:t>
            </w:r>
          </w:p>
        </w:tc>
        <w:tc>
          <w:tcPr>
            <w:tcW w:w="836" w:type="dxa"/>
            <w:tcBorders>
              <w:top w:val="single" w:sz="4" w:space="0" w:color="auto"/>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lastRenderedPageBreak/>
              <w:t>Q</w:t>
            </w:r>
          </w:p>
        </w:tc>
        <w:tc>
          <w:tcPr>
            <w:tcW w:w="1006"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1276"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top w:val="single" w:sz="4" w:space="0" w:color="auto"/>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694"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1701"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4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 xml:space="preserve">Circuitos y depósitos de </w:t>
            </w:r>
            <w:r w:rsidRPr="00FB1FE7">
              <w:rPr>
                <w:rFonts w:ascii="Verdana" w:hAnsi="Verdana" w:cs="Tahoma"/>
                <w:sz w:val="16"/>
                <w:szCs w:val="16"/>
                <w:lang w:val="es-ES_tradnl"/>
              </w:rPr>
              <w:lastRenderedPageBreak/>
              <w:t>almacenamiento separados. Se ha implantado un procedimiento relativo al almacenaje.</w:t>
            </w: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bl>
    <w:p w:rsidR="00673F18" w:rsidRPr="00FB1FE7" w:rsidRDefault="00673F18">
      <w:r w:rsidRPr="00FB1FE7">
        <w:lastRenderedPageBreak/>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992"/>
        <w:gridCol w:w="1418"/>
        <w:gridCol w:w="992"/>
        <w:gridCol w:w="2126"/>
        <w:gridCol w:w="1843"/>
        <w:gridCol w:w="2551"/>
        <w:gridCol w:w="2127"/>
      </w:tblGrid>
      <w:tr w:rsidR="00C724B8" w:rsidRPr="00FB1FE7" w:rsidTr="00396EC6">
        <w:trPr>
          <w:trHeight w:val="925"/>
        </w:trPr>
        <w:tc>
          <w:tcPr>
            <w:tcW w:w="5070" w:type="dxa"/>
            <w:gridSpan w:val="4"/>
            <w:tcBorders>
              <w:bottom w:val="single" w:sz="4" w:space="0" w:color="auto"/>
            </w:tcBorders>
            <w:shd w:val="clear" w:color="auto" w:fill="0DA72A"/>
            <w:tcMar>
              <w:top w:w="57" w:type="dxa"/>
              <w:bottom w:w="57" w:type="dxa"/>
            </w:tcMar>
            <w:vAlign w:val="center"/>
          </w:tcPr>
          <w:p w:rsidR="00C724B8" w:rsidRPr="00FB1FE7" w:rsidRDefault="00E80F73" w:rsidP="00BE596F">
            <w:pPr>
              <w:spacing w:before="20" w:after="20"/>
              <w:ind w:left="85" w:right="85"/>
              <w:rPr>
                <w:rFonts w:ascii="Verdana" w:hAnsi="Verdana" w:cs="Tahoma"/>
                <w:b/>
                <w:bCs/>
                <w:color w:val="FFFFFF"/>
                <w:sz w:val="28"/>
                <w:szCs w:val="28"/>
                <w:lang w:val="es-ES_tradnl"/>
              </w:rPr>
            </w:pPr>
            <w:r w:rsidRPr="00FB1FE7">
              <w:rPr>
                <w:rFonts w:ascii="Verdana" w:hAnsi="Verdana"/>
                <w:b/>
                <w:color w:val="FFFFFF"/>
                <w:sz w:val="32"/>
                <w:szCs w:val="32"/>
                <w:lang w:val="es-ES_tradnl"/>
              </w:rPr>
              <w:lastRenderedPageBreak/>
              <w:t>8. Enfoque basado en el riesgo aplicado a la glicerina</w:t>
            </w:r>
          </w:p>
        </w:tc>
        <w:tc>
          <w:tcPr>
            <w:tcW w:w="9639" w:type="dxa"/>
            <w:gridSpan w:val="5"/>
            <w:tcBorders>
              <w:left w:val="nil"/>
              <w:bottom w:val="single" w:sz="4" w:space="0" w:color="auto"/>
            </w:tcBorders>
            <w:shd w:val="clear" w:color="auto" w:fill="0DA72A"/>
            <w:tcMar>
              <w:top w:w="57" w:type="dxa"/>
              <w:bottom w:w="57" w:type="dxa"/>
            </w:tcMar>
          </w:tcPr>
          <w:p w:rsidR="00C724B8" w:rsidRPr="00FB1FE7" w:rsidRDefault="001E05FE" w:rsidP="003273EF">
            <w:pPr>
              <w:spacing w:before="20" w:after="20"/>
              <w:ind w:left="85" w:right="85"/>
              <w:rPr>
                <w:rFonts w:ascii="Verdana" w:hAnsi="Verdana" w:cs="Tahoma"/>
                <w:b/>
                <w:color w:val="FFFFFF"/>
                <w:sz w:val="28"/>
                <w:szCs w:val="28"/>
                <w:lang w:val="es-ES_tradnl"/>
              </w:rPr>
            </w:pPr>
            <w:r w:rsidRPr="00FB1FE7">
              <w:rPr>
                <w:rFonts w:ascii="Verdana" w:hAnsi="Verdana" w:cs="Tahoma"/>
                <w:b/>
                <w:color w:val="FFFFFF"/>
                <w:sz w:val="28"/>
                <w:szCs w:val="28"/>
                <w:lang w:val="es-ES_tradnl"/>
              </w:rPr>
              <w:t>8</w:t>
            </w:r>
            <w:r w:rsidR="003273EF" w:rsidRPr="00FB1FE7">
              <w:rPr>
                <w:rFonts w:ascii="Verdana" w:hAnsi="Verdana" w:cs="Tahoma"/>
                <w:b/>
                <w:color w:val="FFFFFF"/>
                <w:sz w:val="28"/>
                <w:szCs w:val="28"/>
                <w:lang w:val="es-ES_tradnl"/>
              </w:rPr>
              <w:t>.</w:t>
            </w:r>
            <w:r w:rsidRPr="00FB1FE7">
              <w:rPr>
                <w:rFonts w:ascii="Verdana" w:hAnsi="Verdana" w:cs="Tahoma"/>
                <w:b/>
                <w:color w:val="FFFFFF"/>
                <w:sz w:val="28"/>
                <w:szCs w:val="28"/>
                <w:lang w:val="es-ES_tradnl"/>
              </w:rPr>
              <w:t xml:space="preserve"> Transporte de la glicerina </w:t>
            </w:r>
          </w:p>
        </w:tc>
      </w:tr>
      <w:tr w:rsidR="00B86C6B" w:rsidRPr="00FB1FE7" w:rsidTr="009533E3">
        <w:trPr>
          <w:trHeight w:val="315"/>
        </w:trPr>
        <w:tc>
          <w:tcPr>
            <w:tcW w:w="1809"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RIESGO </w:t>
            </w:r>
          </w:p>
        </w:tc>
        <w:tc>
          <w:tcPr>
            <w:tcW w:w="851"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CATEGORÍA </w:t>
            </w:r>
          </w:p>
        </w:tc>
        <w:tc>
          <w:tcPr>
            <w:tcW w:w="99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PROBABILIDAD </w:t>
            </w:r>
          </w:p>
        </w:tc>
        <w:tc>
          <w:tcPr>
            <w:tcW w:w="1418"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GRAVEDAD </w:t>
            </w:r>
          </w:p>
        </w:tc>
        <w:tc>
          <w:tcPr>
            <w:tcW w:w="992"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CLASIFICACIÓN DEL RIESGO </w:t>
            </w:r>
          </w:p>
        </w:tc>
        <w:tc>
          <w:tcPr>
            <w:tcW w:w="2126"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JUSTIFICACIÓN</w:t>
            </w:r>
          </w:p>
        </w:tc>
        <w:tc>
          <w:tcPr>
            <w:tcW w:w="1843"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 xml:space="preserve">LEGISLACIÓN, NORMAS DE LA INDUSTRIA Y/O CLÁUSULAS CONTRACTUALES </w:t>
            </w:r>
          </w:p>
        </w:tc>
        <w:tc>
          <w:tcPr>
            <w:tcW w:w="2551"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b/>
                <w:bCs/>
                <w:color w:val="FFFFFF"/>
                <w:sz w:val="14"/>
                <w:szCs w:val="14"/>
                <w:lang w:val="es-ES_tradnl"/>
              </w:rPr>
            </w:pPr>
            <w:r w:rsidRPr="00FB1FE7">
              <w:rPr>
                <w:rFonts w:ascii="Verdana" w:hAnsi="Verdana" w:cs="Tahoma"/>
                <w:b/>
                <w:bCs/>
                <w:color w:val="FFFFFF"/>
                <w:sz w:val="14"/>
                <w:szCs w:val="14"/>
                <w:lang w:val="es-ES_tradnl"/>
              </w:rPr>
              <w:t>MEDIDAS DE CONTROL</w:t>
            </w:r>
            <w:r w:rsidR="00673F18" w:rsidRPr="00FB1FE7">
              <w:rPr>
                <w:rFonts w:ascii="Verdana" w:hAnsi="Verdana" w:cs="Tahoma"/>
                <w:b/>
                <w:bCs/>
                <w:color w:val="FFFFFF"/>
                <w:sz w:val="14"/>
                <w:szCs w:val="14"/>
                <w:lang w:val="es-ES_tradnl"/>
              </w:rPr>
              <w:t xml:space="preserve"> </w:t>
            </w:r>
          </w:p>
        </w:tc>
        <w:tc>
          <w:tcPr>
            <w:tcW w:w="2127" w:type="dxa"/>
            <w:tcBorders>
              <w:bottom w:val="single" w:sz="4" w:space="0" w:color="auto"/>
            </w:tcBorders>
            <w:shd w:val="clear" w:color="auto" w:fill="0DA72A"/>
            <w:tcMar>
              <w:top w:w="28" w:type="dxa"/>
              <w:bottom w:w="28" w:type="dxa"/>
            </w:tcMar>
            <w:vAlign w:val="center"/>
          </w:tcPr>
          <w:p w:rsidR="00B86C6B" w:rsidRPr="00FB1FE7" w:rsidRDefault="00B86C6B" w:rsidP="00BE596F">
            <w:pPr>
              <w:spacing w:before="20" w:after="20"/>
              <w:jc w:val="center"/>
              <w:rPr>
                <w:rFonts w:ascii="Verdana" w:hAnsi="Verdana" w:cs="Tahoma"/>
                <w:color w:val="FFFFFF"/>
                <w:sz w:val="14"/>
                <w:szCs w:val="14"/>
                <w:lang w:val="es-ES_tradnl"/>
              </w:rPr>
            </w:pPr>
            <w:r w:rsidRPr="00FB1FE7">
              <w:rPr>
                <w:rFonts w:ascii="Verdana" w:hAnsi="Verdana" w:cs="Tahoma"/>
                <w:b/>
                <w:bCs/>
                <w:color w:val="FFFFFF"/>
                <w:sz w:val="14"/>
                <w:szCs w:val="14"/>
                <w:lang w:val="es-ES_tradnl"/>
              </w:rPr>
              <w:t xml:space="preserve">OBSERVACIONES </w:t>
            </w:r>
          </w:p>
        </w:tc>
      </w:tr>
      <w:tr w:rsidR="00B86C6B" w:rsidRPr="00F508C9" w:rsidTr="009533E3">
        <w:trPr>
          <w:trHeight w:val="224"/>
        </w:trPr>
        <w:tc>
          <w:tcPr>
            <w:tcW w:w="1809"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b/>
                <w:bCs/>
                <w:sz w:val="16"/>
                <w:szCs w:val="16"/>
                <w:lang w:val="es-ES_tradnl"/>
              </w:rPr>
              <w:t>Contaminación causada por la carga anterior</w:t>
            </w:r>
          </w:p>
        </w:tc>
        <w:tc>
          <w:tcPr>
            <w:tcW w:w="851"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F-Q-B</w:t>
            </w:r>
          </w:p>
        </w:tc>
        <w:tc>
          <w:tcPr>
            <w:tcW w:w="992"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2</w:t>
            </w:r>
          </w:p>
        </w:tc>
        <w:tc>
          <w:tcPr>
            <w:tcW w:w="2126" w:type="dxa"/>
            <w:tcBorders>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p>
        </w:tc>
        <w:tc>
          <w:tcPr>
            <w:tcW w:w="1843"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551"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Control de las tres cargas anteriores.</w:t>
            </w:r>
          </w:p>
        </w:tc>
        <w:tc>
          <w:tcPr>
            <w:tcW w:w="2127" w:type="dxa"/>
            <w:tcBorders>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rPr>
          <w:trHeight w:val="1011"/>
        </w:trPr>
        <w:tc>
          <w:tcPr>
            <w:tcW w:w="18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sz w:val="16"/>
                <w:szCs w:val="16"/>
                <w:lang w:val="es-ES_tradnl"/>
              </w:rPr>
            </w:pPr>
            <w:r w:rsidRPr="00FB1FE7">
              <w:rPr>
                <w:rFonts w:ascii="Verdana" w:hAnsi="Verdana" w:cs="Tahoma"/>
                <w:b/>
                <w:sz w:val="16"/>
                <w:szCs w:val="16"/>
                <w:lang w:val="es-ES_tradnl"/>
              </w:rPr>
              <w:t>- Camiones, vagones y barcazas cisterna</w:t>
            </w:r>
          </w:p>
        </w:tc>
        <w:tc>
          <w:tcPr>
            <w:tcW w:w="851" w:type="dxa"/>
            <w:tcBorders>
              <w:top w:val="single" w:sz="4" w:space="0" w:color="auto"/>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92"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Transporte de glicerina de acuerdo con los requisitos del cliente.</w:t>
            </w:r>
          </w:p>
        </w:tc>
        <w:tc>
          <w:tcPr>
            <w:tcW w:w="1843"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El Reglamento (CE) nº 183/2005 establece normas para el transporte de materiales para piensos.</w:t>
            </w:r>
          </w:p>
          <w:p w:rsidR="00B86C6B" w:rsidRPr="00FB1FE7" w:rsidRDefault="00B86C6B" w:rsidP="00BE596F">
            <w:pPr>
              <w:rPr>
                <w:rFonts w:ascii="Verdana" w:hAnsi="Verdana" w:cs="Tahoma"/>
                <w:sz w:val="16"/>
                <w:szCs w:val="16"/>
                <w:lang w:val="es-ES_tradnl"/>
              </w:rPr>
            </w:pPr>
          </w:p>
        </w:tc>
        <w:tc>
          <w:tcPr>
            <w:tcW w:w="2551"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 xml:space="preserve">Comprobación de las cargas anteriores a través de la </w:t>
            </w:r>
            <w:hyperlink r:id="rId26" w:history="1">
              <w:r w:rsidRPr="00FB1FE7">
                <w:rPr>
                  <w:rStyle w:val="Hyperlink"/>
                  <w:rFonts w:ascii="Verdana" w:hAnsi="Verdana" w:cs="Tahoma"/>
                  <w:sz w:val="16"/>
                  <w:szCs w:val="16"/>
                  <w:lang w:val="es-ES_tradnl"/>
                </w:rPr>
                <w:t>base de datos IDTF</w:t>
              </w:r>
            </w:hyperlink>
          </w:p>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En la Guía europea de buenas prácticas en la fabricación industrial de materias primas seguras para piensos se describen los métodos de transporte idóneos para estas últimas.</w:t>
            </w: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rPr>
          <w:trHeight w:val="224"/>
        </w:trPr>
        <w:tc>
          <w:tcPr>
            <w:tcW w:w="18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Contaminación con productos de limpieza</w:t>
            </w:r>
          </w:p>
        </w:tc>
        <w:tc>
          <w:tcPr>
            <w:tcW w:w="851" w:type="dxa"/>
            <w:tcBorders>
              <w:top w:val="single" w:sz="4" w:space="0" w:color="auto"/>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92" w:type="dxa"/>
            <w:tcBorders>
              <w:top w:val="single" w:sz="4" w:space="0" w:color="auto"/>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 xml:space="preserve">Baja </w:t>
            </w:r>
          </w:p>
        </w:tc>
        <w:tc>
          <w:tcPr>
            <w:tcW w:w="1418"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p>
        </w:tc>
        <w:tc>
          <w:tcPr>
            <w:tcW w:w="1843" w:type="dxa"/>
            <w:tcBorders>
              <w:top w:val="single" w:sz="4" w:space="0" w:color="auto"/>
              <w:bottom w:val="single" w:sz="4" w:space="0" w:color="auto"/>
            </w:tcBorders>
            <w:tcMar>
              <w:top w:w="85" w:type="dxa"/>
              <w:bottom w:w="85" w:type="dxa"/>
            </w:tcMar>
          </w:tcPr>
          <w:p w:rsidR="00B86C6B" w:rsidRPr="00FB1FE7" w:rsidRDefault="00B86C6B" w:rsidP="00BE596F">
            <w:pPr>
              <w:jc w:val="right"/>
              <w:rPr>
                <w:rFonts w:ascii="Verdana" w:hAnsi="Verdana" w:cs="Tahoma"/>
                <w:sz w:val="16"/>
                <w:szCs w:val="16"/>
                <w:lang w:val="es-ES_tradnl"/>
              </w:rPr>
            </w:pPr>
          </w:p>
        </w:tc>
        <w:tc>
          <w:tcPr>
            <w:tcW w:w="2551" w:type="dxa"/>
            <w:tcBorders>
              <w:top w:val="single" w:sz="4" w:space="0" w:color="auto"/>
              <w:bottom w:val="single" w:sz="4" w:space="0" w:color="auto"/>
            </w:tcBorders>
            <w:tcMar>
              <w:top w:w="85" w:type="dxa"/>
              <w:bottom w:w="85" w:type="dxa"/>
            </w:tcMar>
          </w:tcPr>
          <w:p w:rsidR="009F6611" w:rsidRPr="00FB1FE7" w:rsidRDefault="009F6611" w:rsidP="00BE596F">
            <w:pPr>
              <w:pStyle w:val="Default"/>
              <w:rPr>
                <w:rFonts w:ascii="Verdana" w:hAnsi="Verdana"/>
                <w:sz w:val="16"/>
                <w:szCs w:val="16"/>
                <w:lang w:val="es-ES_tradnl"/>
              </w:rPr>
            </w:pPr>
            <w:r w:rsidRPr="00FB1FE7">
              <w:rPr>
                <w:rFonts w:ascii="Verdana" w:hAnsi="Verdana"/>
                <w:sz w:val="16"/>
                <w:szCs w:val="16"/>
                <w:lang w:val="es-ES_tradnl"/>
              </w:rPr>
              <w:t xml:space="preserve">Los productos de limpieza utilizados en los contenedores de transporte de glicerina deberán eliminarse mediante su enjuagado a fondo. Los productos de limpieza utilizados deberán evaluarse respecto a los riesgos potenciales, adoptando las medidas apropiadas para reducir estos últimos hasta un nivel aceptable. </w:t>
            </w:r>
          </w:p>
          <w:p w:rsidR="00B86C6B" w:rsidRPr="00FB1FE7" w:rsidRDefault="009F6611" w:rsidP="00BE596F">
            <w:pPr>
              <w:pStyle w:val="Default"/>
              <w:rPr>
                <w:rFonts w:asciiTheme="minorHAnsi" w:hAnsiTheme="minorHAnsi"/>
                <w:sz w:val="18"/>
                <w:szCs w:val="18"/>
                <w:lang w:val="es-ES_tradnl"/>
              </w:rPr>
            </w:pPr>
            <w:r w:rsidRPr="00FB1FE7">
              <w:rPr>
                <w:rFonts w:ascii="Verdana" w:hAnsi="Verdana"/>
                <w:sz w:val="16"/>
                <w:szCs w:val="16"/>
                <w:lang w:val="es-ES_tradnl"/>
              </w:rPr>
              <w:t>No se trata de un riesgo frecuente, dado que en la mayoría de los casos se utilizan contenedores de transporte específicos.</w:t>
            </w: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rPr>
          <w:cantSplit/>
          <w:trHeight w:val="448"/>
        </w:trPr>
        <w:tc>
          <w:tcPr>
            <w:tcW w:w="18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sz w:val="16"/>
                <w:szCs w:val="16"/>
                <w:lang w:val="es-ES_tradnl"/>
              </w:rPr>
            </w:pPr>
            <w:r w:rsidRPr="00FB1FE7">
              <w:rPr>
                <w:rFonts w:ascii="Verdana" w:hAnsi="Verdana" w:cs="Tahoma"/>
                <w:b/>
                <w:sz w:val="16"/>
                <w:szCs w:val="16"/>
                <w:lang w:val="es-ES_tradnl"/>
              </w:rPr>
              <w:lastRenderedPageBreak/>
              <w:t xml:space="preserve">Vagones cisterna </w:t>
            </w:r>
          </w:p>
        </w:tc>
        <w:tc>
          <w:tcPr>
            <w:tcW w:w="851" w:type="dxa"/>
            <w:tcBorders>
              <w:top w:val="single" w:sz="4" w:space="0" w:color="auto"/>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Q</w:t>
            </w:r>
          </w:p>
        </w:tc>
        <w:tc>
          <w:tcPr>
            <w:tcW w:w="992"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992" w:type="dxa"/>
            <w:tcBorders>
              <w:top w:val="single" w:sz="4" w:space="0" w:color="auto"/>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1</w:t>
            </w:r>
          </w:p>
        </w:tc>
        <w:tc>
          <w:tcPr>
            <w:tcW w:w="2126"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 xml:space="preserve">Se utilizarán cisternas de acero inoxidable de doble pared, calefactadas mediante el circuito de refrigeración del motor (y no mediante bobinas calefactoras). </w:t>
            </w:r>
          </w:p>
        </w:tc>
        <w:tc>
          <w:tcPr>
            <w:tcW w:w="1843"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551"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rPr>
          <w:cantSplit/>
          <w:trHeight w:val="340"/>
        </w:trPr>
        <w:tc>
          <w:tcPr>
            <w:tcW w:w="18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Cuerpos extraños</w:t>
            </w:r>
          </w:p>
        </w:tc>
        <w:tc>
          <w:tcPr>
            <w:tcW w:w="851" w:type="dxa"/>
            <w:tcBorders>
              <w:top w:val="single" w:sz="4" w:space="0" w:color="auto"/>
              <w:bottom w:val="single" w:sz="4" w:space="0" w:color="auto"/>
            </w:tcBorders>
            <w:tcMar>
              <w:top w:w="85" w:type="dxa"/>
              <w:bottom w:w="85" w:type="dxa"/>
            </w:tcMar>
          </w:tcPr>
          <w:p w:rsidR="00B86C6B" w:rsidRPr="00FB1FE7" w:rsidRDefault="00277318" w:rsidP="00BE596F">
            <w:pPr>
              <w:jc w:val="center"/>
              <w:rPr>
                <w:rFonts w:ascii="Verdana" w:hAnsi="Verdana" w:cs="Tahoma"/>
                <w:sz w:val="16"/>
                <w:szCs w:val="16"/>
                <w:lang w:val="es-ES_tradnl"/>
              </w:rPr>
            </w:pPr>
            <w:r w:rsidRPr="00FB1FE7">
              <w:rPr>
                <w:rFonts w:ascii="Verdana" w:hAnsi="Verdana" w:cs="Tahoma"/>
                <w:sz w:val="16"/>
                <w:szCs w:val="16"/>
                <w:lang w:val="es-ES_tradnl"/>
              </w:rPr>
              <w:t>F</w:t>
            </w:r>
          </w:p>
        </w:tc>
        <w:tc>
          <w:tcPr>
            <w:tcW w:w="992"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Baja</w:t>
            </w:r>
          </w:p>
        </w:tc>
        <w:tc>
          <w:tcPr>
            <w:tcW w:w="1418" w:type="dxa"/>
            <w:tcBorders>
              <w:top w:val="single" w:sz="4" w:space="0" w:color="auto"/>
              <w:bottom w:val="single" w:sz="4" w:space="0" w:color="auto"/>
            </w:tcBorders>
            <w:tcMar>
              <w:top w:w="85" w:type="dxa"/>
              <w:bottom w:w="85" w:type="dxa"/>
            </w:tcMar>
          </w:tcPr>
          <w:p w:rsidR="00B86C6B" w:rsidRPr="00FB1FE7" w:rsidRDefault="00FF185B" w:rsidP="00BE596F">
            <w:pPr>
              <w:jc w:val="center"/>
              <w:rPr>
                <w:rFonts w:ascii="Verdana" w:hAnsi="Verdana" w:cs="Tahoma"/>
                <w:sz w:val="16"/>
                <w:szCs w:val="16"/>
                <w:lang w:val="es-ES_tradnl"/>
              </w:rPr>
            </w:pPr>
            <w:r w:rsidRPr="00FB1FE7">
              <w:rPr>
                <w:rFonts w:ascii="Verdana" w:hAnsi="Verdana" w:cs="Tahoma"/>
                <w:sz w:val="16"/>
                <w:szCs w:val="16"/>
                <w:lang w:val="es-ES_tradnl"/>
              </w:rPr>
              <w:t>Alta</w:t>
            </w:r>
          </w:p>
        </w:tc>
        <w:tc>
          <w:tcPr>
            <w:tcW w:w="992" w:type="dxa"/>
            <w:tcBorders>
              <w:top w:val="single" w:sz="4" w:space="0" w:color="auto"/>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1843"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iCs/>
                <w:color w:val="FF6600"/>
                <w:sz w:val="16"/>
                <w:szCs w:val="16"/>
                <w:lang w:val="es-ES_tradnl"/>
              </w:rPr>
            </w:pPr>
          </w:p>
        </w:tc>
        <w:tc>
          <w:tcPr>
            <w:tcW w:w="2551"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El plan de calidad deberá estipular que la carga de las cisternas con glicerina se realice bajo techado.</w:t>
            </w: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r>
      <w:tr w:rsidR="00B86C6B" w:rsidRPr="00F508C9" w:rsidTr="009533E3">
        <w:trPr>
          <w:cantSplit/>
          <w:trHeight w:val="340"/>
        </w:trPr>
        <w:tc>
          <w:tcPr>
            <w:tcW w:w="1809"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b/>
                <w:bCs/>
                <w:sz w:val="16"/>
                <w:szCs w:val="16"/>
                <w:lang w:val="es-ES_tradnl"/>
              </w:rPr>
            </w:pPr>
            <w:r w:rsidRPr="00FB1FE7">
              <w:rPr>
                <w:rFonts w:ascii="Verdana" w:hAnsi="Verdana" w:cs="Tahoma"/>
                <w:b/>
                <w:bCs/>
                <w:sz w:val="16"/>
                <w:szCs w:val="16"/>
                <w:lang w:val="es-ES_tradnl"/>
              </w:rPr>
              <w:t xml:space="preserve">Plagas </w:t>
            </w:r>
          </w:p>
        </w:tc>
        <w:tc>
          <w:tcPr>
            <w:tcW w:w="851" w:type="dxa"/>
            <w:tcBorders>
              <w:top w:val="single" w:sz="4" w:space="0" w:color="auto"/>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B</w:t>
            </w:r>
          </w:p>
        </w:tc>
        <w:tc>
          <w:tcPr>
            <w:tcW w:w="992" w:type="dxa"/>
            <w:tcBorders>
              <w:top w:val="single" w:sz="4" w:space="0" w:color="auto"/>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1418" w:type="dxa"/>
            <w:tcBorders>
              <w:top w:val="single" w:sz="4" w:space="0" w:color="auto"/>
              <w:bottom w:val="single" w:sz="4" w:space="0" w:color="auto"/>
            </w:tcBorders>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Media</w:t>
            </w:r>
          </w:p>
        </w:tc>
        <w:tc>
          <w:tcPr>
            <w:tcW w:w="992" w:type="dxa"/>
            <w:tcBorders>
              <w:top w:val="single" w:sz="4" w:space="0" w:color="auto"/>
              <w:bottom w:val="single" w:sz="4" w:space="0" w:color="auto"/>
            </w:tcBorders>
            <w:shd w:val="clear" w:color="auto" w:fill="FFC000"/>
            <w:tcMar>
              <w:top w:w="85" w:type="dxa"/>
              <w:bottom w:w="85" w:type="dxa"/>
            </w:tcMar>
          </w:tcPr>
          <w:p w:rsidR="00B86C6B" w:rsidRPr="00FB1FE7" w:rsidRDefault="00B86C6B" w:rsidP="00BE596F">
            <w:pPr>
              <w:jc w:val="center"/>
              <w:rPr>
                <w:rFonts w:ascii="Verdana" w:hAnsi="Verdana" w:cs="Tahoma"/>
                <w:sz w:val="16"/>
                <w:szCs w:val="16"/>
                <w:lang w:val="es-ES_tradnl"/>
              </w:rPr>
            </w:pPr>
            <w:r w:rsidRPr="00FB1FE7">
              <w:rPr>
                <w:rFonts w:ascii="Verdana" w:hAnsi="Verdana" w:cs="Tahoma"/>
                <w:sz w:val="16"/>
                <w:szCs w:val="16"/>
                <w:lang w:val="es-ES_tradnl"/>
              </w:rPr>
              <w:t>3</w:t>
            </w:r>
          </w:p>
        </w:tc>
        <w:tc>
          <w:tcPr>
            <w:tcW w:w="2126"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p>
        </w:tc>
        <w:tc>
          <w:tcPr>
            <w:tcW w:w="1843"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iCs/>
                <w:color w:val="FF6600"/>
                <w:sz w:val="16"/>
                <w:szCs w:val="16"/>
                <w:lang w:val="es-ES_tradnl"/>
              </w:rPr>
            </w:pPr>
          </w:p>
        </w:tc>
        <w:tc>
          <w:tcPr>
            <w:tcW w:w="2551" w:type="dxa"/>
            <w:tcBorders>
              <w:top w:val="single" w:sz="4" w:space="0" w:color="auto"/>
              <w:bottom w:val="single" w:sz="4" w:space="0" w:color="auto"/>
            </w:tcBorders>
            <w:tcMar>
              <w:top w:w="85" w:type="dxa"/>
              <w:bottom w:w="85" w:type="dxa"/>
            </w:tcMar>
          </w:tcPr>
          <w:p w:rsidR="00B86C6B" w:rsidRPr="00FB1FE7" w:rsidRDefault="004C1DB8" w:rsidP="00BE596F">
            <w:pPr>
              <w:rPr>
                <w:rFonts w:ascii="Verdana" w:hAnsi="Verdana" w:cs="Tahoma"/>
                <w:sz w:val="16"/>
                <w:szCs w:val="16"/>
                <w:lang w:val="es-ES_tradnl"/>
              </w:rPr>
            </w:pPr>
            <w:r w:rsidRPr="00FB1FE7">
              <w:rPr>
                <w:rFonts w:ascii="Verdana" w:hAnsi="Verdana" w:cs="Tahoma"/>
                <w:sz w:val="16"/>
                <w:szCs w:val="16"/>
                <w:lang w:val="es-ES_tradnl"/>
              </w:rPr>
              <w:t>PRP</w:t>
            </w:r>
            <w:r w:rsidR="00B86C6B" w:rsidRPr="00FB1FE7">
              <w:rPr>
                <w:rFonts w:ascii="Verdana" w:hAnsi="Verdana" w:cs="Tahoma"/>
                <w:sz w:val="16"/>
                <w:szCs w:val="16"/>
                <w:lang w:val="es-ES_tradnl"/>
              </w:rPr>
              <w:t xml:space="preserve"> relativo al control de plagas.</w:t>
            </w:r>
          </w:p>
        </w:tc>
        <w:tc>
          <w:tcPr>
            <w:tcW w:w="2127" w:type="dxa"/>
            <w:tcBorders>
              <w:top w:val="single" w:sz="4" w:space="0" w:color="auto"/>
              <w:bottom w:val="single" w:sz="4" w:space="0" w:color="auto"/>
            </w:tcBorders>
            <w:tcMar>
              <w:top w:w="85" w:type="dxa"/>
              <w:bottom w:w="85" w:type="dxa"/>
            </w:tcMar>
          </w:tcPr>
          <w:p w:rsidR="00B86C6B" w:rsidRPr="00FB1FE7" w:rsidRDefault="00B86C6B" w:rsidP="00BE596F">
            <w:pPr>
              <w:rPr>
                <w:rFonts w:ascii="Verdana" w:hAnsi="Verdana" w:cs="Tahoma"/>
                <w:sz w:val="16"/>
                <w:szCs w:val="16"/>
                <w:lang w:val="es-ES_tradnl"/>
              </w:rPr>
            </w:pPr>
            <w:r w:rsidRPr="00FB1FE7">
              <w:rPr>
                <w:rFonts w:ascii="Verdana" w:hAnsi="Verdana" w:cs="Tahoma"/>
                <w:sz w:val="16"/>
                <w:szCs w:val="16"/>
                <w:lang w:val="es-ES_tradnl"/>
              </w:rPr>
              <w:t>Controles de la actividad de las plagas.</w:t>
            </w:r>
          </w:p>
        </w:tc>
      </w:tr>
    </w:tbl>
    <w:p w:rsidR="00183009" w:rsidRPr="00FB1FE7" w:rsidRDefault="00183009" w:rsidP="00BE596F">
      <w:pPr>
        <w:rPr>
          <w:rFonts w:ascii="Verdana" w:hAnsi="Verdana"/>
          <w:lang w:val="es-ES_tradnl"/>
        </w:rPr>
        <w:sectPr w:rsidR="00183009" w:rsidRPr="00FB1FE7" w:rsidSect="009218C6">
          <w:headerReference w:type="default" r:id="rId27"/>
          <w:footerReference w:type="default" r:id="rId28"/>
          <w:pgSz w:w="15840" w:h="12240" w:orient="landscape"/>
          <w:pgMar w:top="1134" w:right="851" w:bottom="284" w:left="851" w:header="720" w:footer="720" w:gutter="0"/>
          <w:cols w:space="720"/>
          <w:docGrid w:linePitch="360"/>
        </w:sectPr>
      </w:pPr>
    </w:p>
    <w:p w:rsidR="00E33DAE" w:rsidRPr="00FB1FE7" w:rsidRDefault="00E33DAE" w:rsidP="00BE596F">
      <w:pPr>
        <w:pStyle w:val="Heading1"/>
        <w:numPr>
          <w:ilvl w:val="0"/>
          <w:numId w:val="0"/>
        </w:numPr>
        <w:ind w:left="432"/>
        <w:rPr>
          <w:rFonts w:ascii="Verdana" w:hAnsi="Verdana" w:cs="Tahoma"/>
          <w:sz w:val="20"/>
          <w:szCs w:val="20"/>
          <w:lang w:val="es-ES_tradnl"/>
        </w:rPr>
      </w:pPr>
    </w:p>
    <w:p w:rsidR="002E52C2" w:rsidRPr="00FB1FE7" w:rsidRDefault="00E80F73" w:rsidP="00BE596F">
      <w:pPr>
        <w:pStyle w:val="Heading1"/>
        <w:numPr>
          <w:ilvl w:val="0"/>
          <w:numId w:val="0"/>
        </w:numPr>
        <w:rPr>
          <w:rFonts w:ascii="Verdana" w:hAnsi="Verdana"/>
          <w:lang w:val="es-ES_tradnl"/>
        </w:rPr>
      </w:pPr>
      <w:bookmarkStart w:id="44" w:name="_Toc436281183"/>
      <w:r w:rsidRPr="00FB1FE7">
        <w:rPr>
          <w:rFonts w:ascii="Verdana" w:hAnsi="Verdana"/>
          <w:lang w:val="es-ES_tradnl"/>
        </w:rPr>
        <w:t>9. Requisitos mínimos de seguimiento</w:t>
      </w:r>
      <w:bookmarkEnd w:id="44"/>
    </w:p>
    <w:p w:rsidR="00816A4D" w:rsidRPr="00FB1FE7" w:rsidRDefault="00816A4D" w:rsidP="00BE596F">
      <w:pPr>
        <w:jc w:val="both"/>
        <w:rPr>
          <w:rFonts w:ascii="Verdana" w:hAnsi="Verdana" w:cs="Tahoma"/>
          <w:szCs w:val="20"/>
          <w:lang w:val="es-ES_tradnl"/>
        </w:rPr>
      </w:pPr>
    </w:p>
    <w:p w:rsidR="007D5256" w:rsidRPr="00FB1FE7" w:rsidRDefault="00DB5BD0" w:rsidP="00BE596F">
      <w:pPr>
        <w:jc w:val="both"/>
        <w:rPr>
          <w:rFonts w:ascii="Verdana" w:hAnsi="Verdana" w:cs="Tahoma"/>
          <w:szCs w:val="20"/>
          <w:lang w:val="es-ES_tradnl"/>
        </w:rPr>
      </w:pPr>
      <w:r w:rsidRPr="00FB1FE7">
        <w:rPr>
          <w:rFonts w:ascii="Verdana" w:hAnsi="Verdana" w:cs="Tahoma"/>
          <w:szCs w:val="20"/>
          <w:lang w:val="es-ES_tradnl"/>
        </w:rPr>
        <w:t xml:space="preserve">Los participantes en el sistema EFISC deberán establecer un plan de seguimiento según lo indicado en el apartado 4.4.3 de la Guía EFISC. </w:t>
      </w:r>
    </w:p>
    <w:p w:rsidR="00DB5BD0" w:rsidRPr="00FB1FE7" w:rsidRDefault="00DB5BD0" w:rsidP="00BE596F">
      <w:pPr>
        <w:jc w:val="both"/>
        <w:rPr>
          <w:rFonts w:ascii="Verdana" w:hAnsi="Verdana" w:cs="Tahoma"/>
          <w:szCs w:val="20"/>
          <w:lang w:val="es-ES_tradnl"/>
        </w:rPr>
      </w:pPr>
    </w:p>
    <w:p w:rsidR="00DB5BD0" w:rsidRPr="00FB1FE7" w:rsidRDefault="00DB5BD0" w:rsidP="00BE596F">
      <w:pPr>
        <w:jc w:val="both"/>
        <w:rPr>
          <w:rFonts w:ascii="Verdana" w:hAnsi="Verdana" w:cs="Tahoma"/>
          <w:szCs w:val="20"/>
          <w:lang w:val="es-ES_tradnl"/>
        </w:rPr>
      </w:pPr>
      <w:r w:rsidRPr="00FB1FE7">
        <w:rPr>
          <w:rFonts w:ascii="Verdana" w:hAnsi="Verdana" w:cs="Tahoma"/>
          <w:szCs w:val="20"/>
          <w:lang w:val="es-ES_tradnl"/>
        </w:rPr>
        <w:t>Cuando no se disponga de suficientes datos para realizar la evaluación del riesgo, se aplicarán los siguientes requisitos mínimos de seguimiento. El número mínimo de análisis dependerá del volumen en toneladas de materias primas para piensos fabricadas en un único emplazamiento, como se indica en los cuadros siguientes.</w:t>
      </w:r>
    </w:p>
    <w:p w:rsidR="002C2C5A" w:rsidRPr="00FB1FE7" w:rsidRDefault="002C2C5A" w:rsidP="00BE596F">
      <w:pPr>
        <w:jc w:val="both"/>
        <w:rPr>
          <w:rFonts w:ascii="Verdana" w:hAnsi="Verdana" w:cs="Tahoma"/>
          <w:szCs w:val="20"/>
          <w:lang w:val="es-ES_tradnl"/>
        </w:rPr>
      </w:pPr>
    </w:p>
    <w:p w:rsidR="00DB5BD0" w:rsidRPr="00FB1FE7" w:rsidRDefault="00DB5BD0" w:rsidP="00BE596F">
      <w:pPr>
        <w:autoSpaceDE w:val="0"/>
        <w:autoSpaceDN w:val="0"/>
        <w:adjustRightInd w:val="0"/>
        <w:rPr>
          <w:rFonts w:ascii="Verdana" w:hAnsi="Verdana" w:cs="Tahoma"/>
          <w:b/>
          <w:bCs/>
          <w:szCs w:val="20"/>
          <w:lang w:val="es-ES_tradnl" w:eastAsia="en-GB"/>
        </w:rPr>
      </w:pPr>
    </w:p>
    <w:p w:rsidR="00D86426" w:rsidRPr="00FB1FE7" w:rsidRDefault="00AB104D" w:rsidP="00BE596F">
      <w:pPr>
        <w:autoSpaceDE w:val="0"/>
        <w:autoSpaceDN w:val="0"/>
        <w:adjustRightInd w:val="0"/>
        <w:rPr>
          <w:rFonts w:ascii="Verdana" w:hAnsi="Verdana" w:cs="Tahoma"/>
          <w:b/>
          <w:bCs/>
          <w:szCs w:val="20"/>
          <w:u w:val="single"/>
          <w:lang w:val="es-ES_tradnl" w:eastAsia="en-GB"/>
        </w:rPr>
      </w:pPr>
      <w:r w:rsidRPr="00FB1FE7">
        <w:rPr>
          <w:rFonts w:ascii="Verdana" w:hAnsi="Verdana" w:cs="Tahoma"/>
          <w:b/>
          <w:bCs/>
          <w:szCs w:val="20"/>
          <w:u w:val="single"/>
          <w:lang w:val="es-ES_tradnl"/>
        </w:rPr>
        <w:t>Plan de seguimiento mínimo para la glicerina como subproducto del procesamiento del aceite vegetal</w:t>
      </w:r>
    </w:p>
    <w:p w:rsidR="00AB104D" w:rsidRPr="00FB1FE7" w:rsidRDefault="00AB104D" w:rsidP="00BE596F">
      <w:pPr>
        <w:autoSpaceDE w:val="0"/>
        <w:autoSpaceDN w:val="0"/>
        <w:adjustRightInd w:val="0"/>
        <w:rPr>
          <w:rFonts w:ascii="Verdana" w:hAnsi="Verdana" w:cs="Tahoma"/>
          <w:szCs w:val="20"/>
          <w:lang w:val="es-ES_tradnl" w:eastAsia="en-GB"/>
        </w:rPr>
      </w:pPr>
    </w:p>
    <w:p w:rsidR="00D86426" w:rsidRPr="00FB1FE7" w:rsidRDefault="00DB5BD0"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 xml:space="preserve">Cuadro A. Glicerina y glicerina en bruto </w:t>
      </w:r>
    </w:p>
    <w:p w:rsidR="00D86426" w:rsidRPr="00FB1FE7" w:rsidRDefault="00D86426" w:rsidP="00BE596F">
      <w:pPr>
        <w:autoSpaceDE w:val="0"/>
        <w:autoSpaceDN w:val="0"/>
        <w:adjustRightInd w:val="0"/>
        <w:rPr>
          <w:rFonts w:ascii="Verdana" w:hAnsi="Verdana" w:cs="Tahoma"/>
          <w:szCs w:val="20"/>
          <w:lang w:val="es-ES_tradnl"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703"/>
        <w:gridCol w:w="1559"/>
      </w:tblGrid>
      <w:tr w:rsidR="00687C0E" w:rsidRPr="00FB1FE7" w:rsidTr="00673F18">
        <w:trPr>
          <w:jc w:val="center"/>
        </w:trPr>
        <w:tc>
          <w:tcPr>
            <w:tcW w:w="2943" w:type="dxa"/>
            <w:shd w:val="clear" w:color="auto" w:fill="DBE5F1"/>
          </w:tcPr>
          <w:p w:rsidR="00687C0E" w:rsidRPr="00FB1FE7" w:rsidRDefault="00687C0E"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Producción anual en t</w:t>
            </w:r>
          </w:p>
          <w:p w:rsidR="00687C0E" w:rsidRPr="00FB1FE7" w:rsidRDefault="00687C0E"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Parámetro</w:t>
            </w:r>
          </w:p>
        </w:tc>
        <w:tc>
          <w:tcPr>
            <w:tcW w:w="1418" w:type="dxa"/>
            <w:shd w:val="clear" w:color="auto" w:fill="DBE5F1"/>
          </w:tcPr>
          <w:p w:rsidR="00687C0E" w:rsidRPr="00FB1FE7" w:rsidRDefault="009A6D17" w:rsidP="00BE596F">
            <w:pPr>
              <w:autoSpaceDE w:val="0"/>
              <w:autoSpaceDN w:val="0"/>
              <w:adjustRightInd w:val="0"/>
              <w:rPr>
                <w:rFonts w:ascii="Verdana" w:hAnsi="Verdana" w:cs="Tahoma"/>
                <w:b/>
                <w:bCs/>
                <w:szCs w:val="20"/>
                <w:lang w:val="es-ES_tradnl" w:eastAsia="en-GB"/>
              </w:rPr>
            </w:pPr>
            <w:r>
              <w:rPr>
                <w:rFonts w:ascii="Verdana" w:hAnsi="Verdana" w:cs="Tahoma"/>
                <w:b/>
                <w:bCs/>
                <w:szCs w:val="20"/>
                <w:lang w:val="fr-BE" w:eastAsia="en-GB"/>
              </w:rPr>
              <w:t>≤</w:t>
            </w:r>
            <w:r w:rsidR="00687C0E" w:rsidRPr="00FB1FE7">
              <w:rPr>
                <w:rFonts w:ascii="Verdana" w:hAnsi="Verdana" w:cs="Tahoma"/>
                <w:b/>
                <w:bCs/>
                <w:szCs w:val="20"/>
                <w:lang w:val="es-ES_tradnl"/>
              </w:rPr>
              <w:t>10 000 t</w:t>
            </w:r>
          </w:p>
          <w:p w:rsidR="00687C0E" w:rsidRPr="00FB1FE7" w:rsidRDefault="00687C0E" w:rsidP="00BE596F">
            <w:pPr>
              <w:autoSpaceDE w:val="0"/>
              <w:autoSpaceDN w:val="0"/>
              <w:adjustRightInd w:val="0"/>
              <w:rPr>
                <w:rFonts w:ascii="Verdana" w:hAnsi="Verdana" w:cs="Tahoma"/>
                <w:szCs w:val="20"/>
                <w:lang w:val="es-ES_tradnl" w:eastAsia="en-GB"/>
              </w:rPr>
            </w:pPr>
          </w:p>
        </w:tc>
        <w:tc>
          <w:tcPr>
            <w:tcW w:w="1703" w:type="dxa"/>
            <w:shd w:val="clear" w:color="auto" w:fill="DBE5F1"/>
          </w:tcPr>
          <w:p w:rsidR="00687C0E" w:rsidRPr="00FB1FE7" w:rsidRDefault="00687C0E" w:rsidP="00BE596F">
            <w:pPr>
              <w:autoSpaceDE w:val="0"/>
              <w:autoSpaceDN w:val="0"/>
              <w:adjustRightInd w:val="0"/>
              <w:rPr>
                <w:rFonts w:ascii="Verdana" w:hAnsi="Verdana" w:cs="Tahoma"/>
                <w:b/>
                <w:bCs/>
                <w:szCs w:val="20"/>
                <w:lang w:val="es-ES_tradnl" w:eastAsia="en-GB"/>
              </w:rPr>
            </w:pPr>
            <w:r w:rsidRPr="00FB1FE7">
              <w:rPr>
                <w:rFonts w:ascii="Verdana" w:hAnsi="Verdana" w:cs="Tahoma"/>
                <w:b/>
                <w:bCs/>
                <w:szCs w:val="20"/>
                <w:lang w:val="es-ES_tradnl"/>
              </w:rPr>
              <w:t>&gt; 10 000 t -</w:t>
            </w:r>
          </w:p>
          <w:p w:rsidR="00687C0E" w:rsidRPr="00FB1FE7" w:rsidRDefault="009A6D17" w:rsidP="00BE596F">
            <w:pPr>
              <w:autoSpaceDE w:val="0"/>
              <w:autoSpaceDN w:val="0"/>
              <w:adjustRightInd w:val="0"/>
              <w:rPr>
                <w:rFonts w:ascii="Verdana" w:hAnsi="Verdana" w:cs="Tahoma"/>
                <w:b/>
                <w:bCs/>
                <w:szCs w:val="20"/>
                <w:lang w:val="es-ES_tradnl" w:eastAsia="en-GB"/>
              </w:rPr>
            </w:pPr>
            <w:r>
              <w:rPr>
                <w:rFonts w:ascii="Verdana" w:hAnsi="Verdana" w:cs="Tahoma"/>
                <w:b/>
                <w:bCs/>
                <w:szCs w:val="20"/>
                <w:lang w:val="fr-BE" w:eastAsia="en-GB"/>
              </w:rPr>
              <w:t>≤</w:t>
            </w:r>
            <w:r w:rsidR="00687C0E" w:rsidRPr="00FB1FE7">
              <w:rPr>
                <w:rFonts w:ascii="Verdana" w:hAnsi="Verdana" w:cs="Tahoma"/>
                <w:b/>
                <w:bCs/>
                <w:szCs w:val="20"/>
                <w:lang w:val="es-ES_tradnl"/>
              </w:rPr>
              <w:t>20 000 t</w:t>
            </w:r>
          </w:p>
        </w:tc>
        <w:tc>
          <w:tcPr>
            <w:tcW w:w="1559" w:type="dxa"/>
            <w:shd w:val="clear" w:color="auto" w:fill="DBE5F1"/>
          </w:tcPr>
          <w:p w:rsidR="00687C0E" w:rsidRPr="00FB1FE7" w:rsidRDefault="00687C0E" w:rsidP="00BE596F">
            <w:pPr>
              <w:autoSpaceDE w:val="0"/>
              <w:autoSpaceDN w:val="0"/>
              <w:adjustRightInd w:val="0"/>
              <w:rPr>
                <w:rFonts w:ascii="Verdana" w:hAnsi="Verdana" w:cs="Tahoma"/>
                <w:b/>
                <w:bCs/>
                <w:szCs w:val="20"/>
                <w:lang w:val="es-ES_tradnl" w:eastAsia="en-GB"/>
              </w:rPr>
            </w:pPr>
            <w:r w:rsidRPr="00FB1FE7">
              <w:rPr>
                <w:rFonts w:ascii="Verdana" w:hAnsi="Verdana" w:cs="Tahoma"/>
                <w:b/>
                <w:bCs/>
                <w:szCs w:val="20"/>
                <w:lang w:val="es-ES_tradnl"/>
              </w:rPr>
              <w:t>&gt; 20 000 t</w:t>
            </w:r>
          </w:p>
          <w:p w:rsidR="00687C0E" w:rsidRPr="00FB1FE7" w:rsidRDefault="00687C0E" w:rsidP="00BE596F">
            <w:pPr>
              <w:autoSpaceDE w:val="0"/>
              <w:autoSpaceDN w:val="0"/>
              <w:adjustRightInd w:val="0"/>
              <w:rPr>
                <w:rFonts w:ascii="Verdana" w:hAnsi="Verdana" w:cs="Tahoma"/>
                <w:szCs w:val="20"/>
                <w:lang w:val="es-ES_tradnl" w:eastAsia="en-GB"/>
              </w:rPr>
            </w:pPr>
          </w:p>
        </w:tc>
      </w:tr>
      <w:tr w:rsidR="00687C0E" w:rsidRPr="00FB1FE7" w:rsidTr="00673F18">
        <w:trPr>
          <w:jc w:val="center"/>
        </w:trPr>
        <w:tc>
          <w:tcPr>
            <w:tcW w:w="2943" w:type="dxa"/>
          </w:tcPr>
          <w:p w:rsidR="00687C0E" w:rsidRPr="00FB1FE7" w:rsidRDefault="00687C0E"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Dioxina</w:t>
            </w:r>
          </w:p>
        </w:tc>
        <w:tc>
          <w:tcPr>
            <w:tcW w:w="1418"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c>
          <w:tcPr>
            <w:tcW w:w="1559"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r>
      <w:tr w:rsidR="00687C0E" w:rsidRPr="00FB1FE7" w:rsidTr="00673F18">
        <w:trPr>
          <w:jc w:val="center"/>
        </w:trPr>
        <w:tc>
          <w:tcPr>
            <w:tcW w:w="2943" w:type="dxa"/>
          </w:tcPr>
          <w:p w:rsidR="00687C0E" w:rsidRPr="00FB1FE7" w:rsidRDefault="00C71A67" w:rsidP="00C71A67">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 xml:space="preserve">PCB </w:t>
            </w:r>
            <w:r w:rsidR="00687C0E" w:rsidRPr="00FB1FE7">
              <w:rPr>
                <w:rFonts w:ascii="Verdana" w:hAnsi="Verdana" w:cs="Tahoma"/>
                <w:b/>
                <w:szCs w:val="20"/>
                <w:lang w:val="es-ES_tradnl"/>
              </w:rPr>
              <w:t>análogos a la dioxina</w:t>
            </w:r>
          </w:p>
        </w:tc>
        <w:tc>
          <w:tcPr>
            <w:tcW w:w="1418"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c>
          <w:tcPr>
            <w:tcW w:w="1559"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r>
      <w:tr w:rsidR="00687C0E" w:rsidRPr="00FB1FE7" w:rsidTr="00673F18">
        <w:trPr>
          <w:jc w:val="center"/>
        </w:trPr>
        <w:tc>
          <w:tcPr>
            <w:tcW w:w="2943" w:type="dxa"/>
          </w:tcPr>
          <w:p w:rsidR="00687C0E" w:rsidRPr="00FB1FE7" w:rsidRDefault="00C71A67" w:rsidP="00C71A67">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 xml:space="preserve">PCB </w:t>
            </w:r>
            <w:r w:rsidR="00687C0E" w:rsidRPr="00FB1FE7">
              <w:rPr>
                <w:rFonts w:ascii="Verdana" w:hAnsi="Verdana" w:cs="Tahoma"/>
                <w:b/>
                <w:szCs w:val="20"/>
                <w:lang w:val="es-ES_tradnl"/>
              </w:rPr>
              <w:t>no análogos a la dioxina</w:t>
            </w:r>
          </w:p>
        </w:tc>
        <w:tc>
          <w:tcPr>
            <w:tcW w:w="1418"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c>
          <w:tcPr>
            <w:tcW w:w="1559"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r>
      <w:tr w:rsidR="00687C0E" w:rsidRPr="00FB1FE7" w:rsidTr="00673F18">
        <w:trPr>
          <w:jc w:val="center"/>
        </w:trPr>
        <w:tc>
          <w:tcPr>
            <w:tcW w:w="2943" w:type="dxa"/>
          </w:tcPr>
          <w:p w:rsidR="00687C0E" w:rsidRPr="00FB1FE7" w:rsidRDefault="00687C0E"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Salmonela</w:t>
            </w:r>
          </w:p>
        </w:tc>
        <w:tc>
          <w:tcPr>
            <w:tcW w:w="1418"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3</w:t>
            </w:r>
          </w:p>
        </w:tc>
        <w:tc>
          <w:tcPr>
            <w:tcW w:w="1559" w:type="dxa"/>
          </w:tcPr>
          <w:p w:rsidR="00687C0E" w:rsidRPr="00FB1FE7" w:rsidRDefault="00687C0E"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r>
      <w:tr w:rsidR="00D77B82" w:rsidRPr="00FB1FE7" w:rsidTr="00673F18">
        <w:trPr>
          <w:jc w:val="center"/>
        </w:trPr>
        <w:tc>
          <w:tcPr>
            <w:tcW w:w="2943" w:type="dxa"/>
          </w:tcPr>
          <w:p w:rsidR="00D77B82" w:rsidRPr="0098367C" w:rsidRDefault="00D77B82" w:rsidP="00BE596F">
            <w:pPr>
              <w:autoSpaceDE w:val="0"/>
              <w:autoSpaceDN w:val="0"/>
              <w:adjustRightInd w:val="0"/>
              <w:rPr>
                <w:rFonts w:ascii="Verdana" w:hAnsi="Verdana" w:cs="Tahoma"/>
                <w:b/>
                <w:szCs w:val="20"/>
                <w:lang w:val="pt-PT" w:eastAsia="en-GB"/>
              </w:rPr>
            </w:pPr>
            <w:r w:rsidRPr="0098367C">
              <w:rPr>
                <w:rFonts w:ascii="Verdana" w:hAnsi="Verdana" w:cs="Tahoma"/>
                <w:b/>
                <w:szCs w:val="20"/>
                <w:lang w:val="pt-PT"/>
              </w:rPr>
              <w:t>Metales pesados (Pb, Cd, As, Hg)</w:t>
            </w:r>
          </w:p>
        </w:tc>
        <w:tc>
          <w:tcPr>
            <w:tcW w:w="1418"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3</w:t>
            </w:r>
          </w:p>
        </w:tc>
        <w:tc>
          <w:tcPr>
            <w:tcW w:w="1559"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r>
      <w:tr w:rsidR="00D77B82" w:rsidRPr="00FB1FE7" w:rsidTr="00673F18">
        <w:trPr>
          <w:jc w:val="center"/>
        </w:trPr>
        <w:tc>
          <w:tcPr>
            <w:tcW w:w="2943" w:type="dxa"/>
          </w:tcPr>
          <w:p w:rsidR="00D77B82" w:rsidRPr="00FB1FE7" w:rsidRDefault="00D77B82"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Plaguicidas</w:t>
            </w:r>
          </w:p>
        </w:tc>
        <w:tc>
          <w:tcPr>
            <w:tcW w:w="1418"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559"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r>
      <w:tr w:rsidR="00D77B82" w:rsidRPr="00FB1FE7" w:rsidTr="00673F18">
        <w:trPr>
          <w:jc w:val="center"/>
        </w:trPr>
        <w:tc>
          <w:tcPr>
            <w:tcW w:w="2943" w:type="dxa"/>
          </w:tcPr>
          <w:p w:rsidR="00D77B82" w:rsidRPr="00FB1FE7" w:rsidRDefault="00D77B82" w:rsidP="00BE596F">
            <w:pPr>
              <w:autoSpaceDE w:val="0"/>
              <w:autoSpaceDN w:val="0"/>
              <w:adjustRightInd w:val="0"/>
              <w:rPr>
                <w:rFonts w:ascii="Verdana" w:hAnsi="Verdana" w:cs="Tahoma"/>
                <w:b/>
                <w:szCs w:val="20"/>
                <w:lang w:val="es-ES_tradnl" w:eastAsia="en-GB"/>
              </w:rPr>
            </w:pPr>
            <w:r w:rsidRPr="00FB1FE7">
              <w:rPr>
                <w:rFonts w:ascii="Verdana" w:hAnsi="Verdana" w:cs="Tahoma"/>
                <w:b/>
                <w:szCs w:val="20"/>
                <w:lang w:val="es-ES_tradnl"/>
              </w:rPr>
              <w:t>Metanol*</w:t>
            </w:r>
          </w:p>
        </w:tc>
        <w:tc>
          <w:tcPr>
            <w:tcW w:w="1418"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2</w:t>
            </w:r>
          </w:p>
        </w:tc>
        <w:tc>
          <w:tcPr>
            <w:tcW w:w="1703"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3</w:t>
            </w:r>
          </w:p>
        </w:tc>
        <w:tc>
          <w:tcPr>
            <w:tcW w:w="1559" w:type="dxa"/>
          </w:tcPr>
          <w:p w:rsidR="00D77B82" w:rsidRPr="00FB1FE7" w:rsidRDefault="00D77B82" w:rsidP="00BE596F">
            <w:pPr>
              <w:autoSpaceDE w:val="0"/>
              <w:autoSpaceDN w:val="0"/>
              <w:adjustRightInd w:val="0"/>
              <w:rPr>
                <w:rFonts w:ascii="Verdana" w:hAnsi="Verdana" w:cs="Tahoma"/>
                <w:szCs w:val="20"/>
                <w:lang w:val="es-ES_tradnl" w:eastAsia="en-GB"/>
              </w:rPr>
            </w:pPr>
            <w:r w:rsidRPr="00FB1FE7">
              <w:rPr>
                <w:rFonts w:ascii="Verdana" w:hAnsi="Verdana" w:cs="Tahoma"/>
                <w:szCs w:val="20"/>
                <w:lang w:val="es-ES_tradnl"/>
              </w:rPr>
              <w:t>4</w:t>
            </w:r>
          </w:p>
        </w:tc>
      </w:tr>
    </w:tbl>
    <w:p w:rsidR="00AB104D" w:rsidRPr="00BE596F" w:rsidRDefault="00427188" w:rsidP="00BE596F">
      <w:pPr>
        <w:autoSpaceDE w:val="0"/>
        <w:autoSpaceDN w:val="0"/>
        <w:adjustRightInd w:val="0"/>
        <w:ind w:left="708"/>
        <w:rPr>
          <w:rFonts w:ascii="Verdana" w:hAnsi="Verdana" w:cs="Tahoma"/>
          <w:szCs w:val="20"/>
          <w:lang w:val="es-ES_tradnl" w:eastAsia="en-GB"/>
        </w:rPr>
      </w:pPr>
      <w:r w:rsidRPr="00FB1FE7">
        <w:rPr>
          <w:rFonts w:ascii="Verdana" w:hAnsi="Verdana" w:cs="Tahoma"/>
          <w:szCs w:val="20"/>
          <w:lang w:val="es-ES_tradnl"/>
        </w:rPr>
        <w:t>* Análisis del metanol únicamente en la glicerina bruta</w:t>
      </w:r>
    </w:p>
    <w:p w:rsidR="000D43B8" w:rsidRPr="00BE596F" w:rsidRDefault="000D43B8" w:rsidP="00BE596F">
      <w:pPr>
        <w:tabs>
          <w:tab w:val="left" w:pos="6945"/>
        </w:tabs>
        <w:rPr>
          <w:rFonts w:ascii="Verdana" w:hAnsi="Verdana" w:cs="Tahoma"/>
          <w:szCs w:val="20"/>
          <w:lang w:val="es-ES_tradnl"/>
        </w:rPr>
      </w:pPr>
    </w:p>
    <w:sectPr w:rsidR="000D43B8" w:rsidRPr="00BE596F" w:rsidSect="002C35C6">
      <w:headerReference w:type="default" r:id="rId29"/>
      <w:footerReference w:type="default" r:id="rId30"/>
      <w:pgSz w:w="12240" w:h="15840"/>
      <w:pgMar w:top="851" w:right="1325"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D9" w:rsidRDefault="00BE19D9">
      <w:r>
        <w:separator/>
      </w:r>
    </w:p>
  </w:endnote>
  <w:endnote w:type="continuationSeparator" w:id="0">
    <w:p w:rsidR="00BE19D9" w:rsidRDefault="00B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rsidP="0062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9D9" w:rsidRDefault="00BE19D9" w:rsidP="00754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rsidP="008E1E10">
    <w:pPr>
      <w:pStyle w:val="Footer"/>
      <w:framePr w:wrap="around" w:vAnchor="text" w:hAnchor="page" w:x="10711" w:yAlign="top"/>
      <w:rPr>
        <w:rStyle w:val="PageNumber"/>
      </w:rPr>
    </w:pPr>
    <w:r>
      <w:rPr>
        <w:rStyle w:val="PageNumber"/>
      </w:rPr>
      <w:fldChar w:fldCharType="begin"/>
    </w:r>
    <w:r>
      <w:rPr>
        <w:rStyle w:val="PageNumber"/>
      </w:rPr>
      <w:instrText xml:space="preserve">PAGE  </w:instrText>
    </w:r>
    <w:r>
      <w:rPr>
        <w:rStyle w:val="PageNumber"/>
      </w:rPr>
      <w:fldChar w:fldCharType="separate"/>
    </w:r>
    <w:r w:rsidR="000B5BA0">
      <w:rPr>
        <w:rStyle w:val="PageNumber"/>
        <w:noProof/>
      </w:rPr>
      <w:t>8</w:t>
    </w:r>
    <w:r>
      <w:rPr>
        <w:rStyle w:val="PageNumber"/>
      </w:rPr>
      <w:fldChar w:fldCharType="end"/>
    </w:r>
  </w:p>
  <w:p w:rsidR="00BE19D9" w:rsidRPr="00A24EA6" w:rsidRDefault="00BE19D9" w:rsidP="005C03F3">
    <w:pPr>
      <w:pStyle w:val="Title"/>
      <w:jc w:val="left"/>
      <w:rPr>
        <w:rFonts w:ascii="Verdana" w:hAnsi="Verdana"/>
        <w:b w:val="0"/>
        <w:i/>
        <w:color w:val="4F81BD"/>
        <w:sz w:val="18"/>
        <w:szCs w:val="18"/>
        <w:u w:val="none"/>
        <w:lang w:val="es-ES"/>
      </w:rPr>
    </w:pPr>
    <w:r w:rsidRPr="00A24EA6">
      <w:rPr>
        <w:rFonts w:ascii="Verdana" w:hAnsi="Verdana"/>
        <w:b w:val="0"/>
        <w:i/>
        <w:color w:val="4F81BD"/>
        <w:sz w:val="18"/>
        <w:szCs w:val="18"/>
        <w:u w:val="none"/>
        <w:lang w:val="es-ES"/>
      </w:rPr>
      <w:t>Guía EFISC - Documento de referencia del sector sobre la fabricación de materias primas seguras para piensos mediante el procesamiento de biodiésel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rsidP="009533E3">
    <w:pPr>
      <w:pStyle w:val="Footer"/>
      <w:framePr w:wrap="around" w:vAnchor="text" w:hAnchor="page" w:x="15166" w:y="10"/>
      <w:rPr>
        <w:rStyle w:val="PageNumber"/>
      </w:rPr>
    </w:pPr>
    <w:r>
      <w:rPr>
        <w:rStyle w:val="PageNumber"/>
      </w:rPr>
      <w:fldChar w:fldCharType="begin"/>
    </w:r>
    <w:r>
      <w:rPr>
        <w:rStyle w:val="PageNumber"/>
      </w:rPr>
      <w:instrText xml:space="preserve">PAGE  </w:instrText>
    </w:r>
    <w:r>
      <w:rPr>
        <w:rStyle w:val="PageNumber"/>
      </w:rPr>
      <w:fldChar w:fldCharType="separate"/>
    </w:r>
    <w:r w:rsidR="000B5BA0">
      <w:rPr>
        <w:rStyle w:val="PageNumber"/>
        <w:noProof/>
      </w:rPr>
      <w:t>16</w:t>
    </w:r>
    <w:r>
      <w:rPr>
        <w:rStyle w:val="PageNumber"/>
      </w:rPr>
      <w:fldChar w:fldCharType="end"/>
    </w:r>
  </w:p>
  <w:p w:rsidR="00BE19D9" w:rsidRPr="00841F1C" w:rsidRDefault="00BE19D9" w:rsidP="005C03F3">
    <w:pPr>
      <w:pStyle w:val="Title"/>
      <w:jc w:val="left"/>
      <w:rPr>
        <w:rFonts w:ascii="Verdana" w:hAnsi="Verdana"/>
        <w:b w:val="0"/>
        <w:i/>
        <w:color w:val="4F81BD"/>
        <w:sz w:val="18"/>
        <w:szCs w:val="18"/>
        <w:u w:val="none"/>
        <w:lang w:val="es-ES"/>
      </w:rPr>
    </w:pPr>
    <w:r w:rsidRPr="00841F1C">
      <w:rPr>
        <w:rFonts w:ascii="Verdana" w:hAnsi="Verdana"/>
        <w:b w:val="0"/>
        <w:i/>
        <w:color w:val="4F81BD"/>
        <w:sz w:val="18"/>
        <w:szCs w:val="18"/>
        <w:u w:val="none"/>
        <w:lang w:val="es-ES"/>
      </w:rPr>
      <w:t>Guía EFISC - Documento de referencia del sector sobre la fabricación de materias primas seguras para piensos mediante el procesamiento del biodiésel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rsidP="008E1E10">
    <w:pPr>
      <w:pStyle w:val="Footer"/>
      <w:framePr w:wrap="around" w:vAnchor="text" w:hAnchor="page" w:x="10711" w:yAlign="top"/>
      <w:rPr>
        <w:rStyle w:val="PageNumber"/>
      </w:rPr>
    </w:pPr>
    <w:r>
      <w:rPr>
        <w:rStyle w:val="PageNumber"/>
      </w:rPr>
      <w:fldChar w:fldCharType="begin"/>
    </w:r>
    <w:r>
      <w:rPr>
        <w:rStyle w:val="PageNumber"/>
      </w:rPr>
      <w:instrText xml:space="preserve">PAGE  </w:instrText>
    </w:r>
    <w:r>
      <w:rPr>
        <w:rStyle w:val="PageNumber"/>
      </w:rPr>
      <w:fldChar w:fldCharType="separate"/>
    </w:r>
    <w:r w:rsidR="000B5BA0">
      <w:rPr>
        <w:rStyle w:val="PageNumber"/>
        <w:noProof/>
      </w:rPr>
      <w:t>29</w:t>
    </w:r>
    <w:r>
      <w:rPr>
        <w:rStyle w:val="PageNumber"/>
      </w:rPr>
      <w:fldChar w:fldCharType="end"/>
    </w:r>
  </w:p>
  <w:p w:rsidR="00BE19D9" w:rsidRPr="00006ADA" w:rsidRDefault="00BE19D9" w:rsidP="009533E3">
    <w:pPr>
      <w:pStyle w:val="Title"/>
      <w:ind w:right="737"/>
      <w:jc w:val="left"/>
      <w:rPr>
        <w:rFonts w:ascii="Verdana" w:hAnsi="Verdana"/>
        <w:b w:val="0"/>
        <w:i/>
        <w:color w:val="4F81BD"/>
        <w:sz w:val="18"/>
        <w:szCs w:val="18"/>
        <w:u w:val="none"/>
        <w:lang w:val="es-ES"/>
      </w:rPr>
    </w:pPr>
    <w:r w:rsidRPr="00006ADA">
      <w:rPr>
        <w:rFonts w:ascii="Verdana" w:hAnsi="Verdana"/>
        <w:b w:val="0"/>
        <w:i/>
        <w:color w:val="4F81BD"/>
        <w:sz w:val="18"/>
        <w:szCs w:val="18"/>
        <w:u w:val="none"/>
        <w:lang w:val="es-ES"/>
      </w:rPr>
      <w:t>Guía EFISC - Documento de referencia del sector sobre la fabricación de materias primas seguras para piensos mediante el procesamiento del biodiésel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D9" w:rsidRDefault="00BE19D9">
      <w:r>
        <w:separator/>
      </w:r>
    </w:p>
  </w:footnote>
  <w:footnote w:type="continuationSeparator" w:id="0">
    <w:p w:rsidR="00BE19D9" w:rsidRDefault="00BE19D9">
      <w:r>
        <w:continuationSeparator/>
      </w:r>
    </w:p>
  </w:footnote>
  <w:footnote w:id="1">
    <w:p w:rsidR="00BE19D9" w:rsidRPr="00A24EA6" w:rsidRDefault="00BE19D9" w:rsidP="00A246EB">
      <w:pPr>
        <w:autoSpaceDE w:val="0"/>
        <w:autoSpaceDN w:val="0"/>
        <w:adjustRightInd w:val="0"/>
        <w:rPr>
          <w:rFonts w:cs="Tahoma"/>
          <w:bCs/>
          <w:szCs w:val="20"/>
          <w:lang w:val="es-ES" w:eastAsia="fr-BE"/>
        </w:rPr>
      </w:pPr>
      <w:r>
        <w:rPr>
          <w:rStyle w:val="FootnoteReference"/>
        </w:rPr>
        <w:footnoteRef/>
      </w:r>
      <w:r w:rsidRPr="00A24EA6">
        <w:rPr>
          <w:lang w:val="es-ES"/>
        </w:rPr>
        <w:t xml:space="preserve"> </w:t>
      </w:r>
      <w:r w:rsidRPr="00E40CCF">
        <w:rPr>
          <w:lang w:val="es-ES"/>
        </w:rPr>
        <w:t>A</w:t>
      </w:r>
      <w:r>
        <w:rPr>
          <w:lang w:val="es-ES"/>
        </w:rPr>
        <w:t>nexo</w:t>
      </w:r>
      <w:r w:rsidRPr="00E40CCF">
        <w:rPr>
          <w:lang w:val="es-ES"/>
        </w:rPr>
        <w:t xml:space="preserve"> 4 </w:t>
      </w:r>
      <w:r>
        <w:rPr>
          <w:lang w:val="es-ES"/>
        </w:rPr>
        <w:t>a</w:t>
      </w:r>
      <w:r w:rsidRPr="00E40CCF">
        <w:rPr>
          <w:lang w:val="es-ES"/>
        </w:rPr>
        <w:t xml:space="preserve"> la Guía </w:t>
      </w:r>
      <w:r>
        <w:rPr>
          <w:lang w:val="es-ES"/>
        </w:rPr>
        <w:t>comunitaria</w:t>
      </w:r>
      <w:r w:rsidRPr="00E40CCF">
        <w:rPr>
          <w:lang w:val="es-ES"/>
        </w:rPr>
        <w:t xml:space="preserve"> de buenas prácticas </w:t>
      </w:r>
      <w:r>
        <w:rPr>
          <w:lang w:val="es-ES"/>
        </w:rPr>
        <w:t>para</w:t>
      </w:r>
      <w:r w:rsidRPr="00E40CCF">
        <w:rPr>
          <w:lang w:val="es-ES"/>
        </w:rPr>
        <w:t xml:space="preserve"> la fabricación de materias primas seguras para piensos:</w:t>
      </w:r>
      <w:r>
        <w:rPr>
          <w:lang w:val="es-ES"/>
        </w:rPr>
        <w:t xml:space="preserve"> </w:t>
      </w:r>
      <w:r w:rsidRPr="00A24EA6">
        <w:rPr>
          <w:lang w:val="es-ES"/>
        </w:rPr>
        <w:t xml:space="preserve">Documento de referencia </w:t>
      </w:r>
      <w:r>
        <w:rPr>
          <w:lang w:val="es-ES"/>
        </w:rPr>
        <w:t xml:space="preserve">para </w:t>
      </w:r>
      <w:r w:rsidRPr="00A24EA6">
        <w:rPr>
          <w:lang w:val="es-ES"/>
        </w:rPr>
        <w:t>el sector</w:t>
      </w:r>
      <w:r w:rsidRPr="00FD3128">
        <w:rPr>
          <w:lang w:val="es-ES"/>
        </w:rPr>
        <w:t xml:space="preserve"> </w:t>
      </w:r>
      <w:r w:rsidRPr="0051683C">
        <w:rPr>
          <w:lang w:val="es-ES"/>
        </w:rPr>
        <w:t>Fediol</w:t>
      </w:r>
      <w:r>
        <w:rPr>
          <w:lang w:val="es-ES"/>
        </w:rPr>
        <w:t>.</w:t>
      </w:r>
      <w:r w:rsidRPr="00A24EA6">
        <w:rPr>
          <w:lang w:val="es-ES"/>
        </w:rPr>
        <w:t xml:space="preserve"> </w:t>
      </w:r>
    </w:p>
    <w:p w:rsidR="00BE19D9" w:rsidRPr="00A24EA6" w:rsidRDefault="00BE19D9" w:rsidP="00A246EB">
      <w:pPr>
        <w:autoSpaceDE w:val="0"/>
        <w:autoSpaceDN w:val="0"/>
        <w:adjustRightInd w:val="0"/>
        <w:rPr>
          <w:rFonts w:cs="Tahoma"/>
          <w:bCs/>
          <w:sz w:val="16"/>
          <w:szCs w:val="20"/>
          <w:lang w:val="es-ES" w:eastAsia="fr-BE"/>
        </w:rPr>
      </w:pPr>
      <w:hyperlink r:id="rId1" w:history="1">
        <w:r w:rsidRPr="00FD3128">
          <w:rPr>
            <w:rStyle w:val="Hyperlink"/>
            <w:rFonts w:cs="Tahoma"/>
            <w:bCs/>
            <w:sz w:val="16"/>
            <w:szCs w:val="20"/>
            <w:lang w:val="es-ES" w:eastAsia="fr-BE"/>
          </w:rPr>
          <w:t>http://www.efisc.eu/data/RZ_Guide%202%202%20APPENDIX%204%20-ES.pdf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Default="00BE19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Pr="00197C5A" w:rsidRDefault="00BE19D9" w:rsidP="00183009">
    <w:pPr>
      <w:pStyle w:val="Header"/>
      <w:tabs>
        <w:tab w:val="clear" w:pos="4536"/>
        <w:tab w:val="clear" w:pos="9072"/>
        <w:tab w:val="right" w:pos="8789"/>
      </w:tabs>
      <w:rPr>
        <w:b/>
        <w:sz w:val="24"/>
        <w:u w:val="single"/>
      </w:rPr>
    </w:pPr>
    <w:r>
      <w:rPr>
        <w:noProof/>
        <w:lang w:eastAsia="en-GB"/>
      </w:rPr>
      <mc:AlternateContent>
        <mc:Choice Requires="wps">
          <w:drawing>
            <wp:anchor distT="0" distB="0" distL="114300" distR="114300" simplePos="0" relativeHeight="251658240" behindDoc="0" locked="0" layoutInCell="1" allowOverlap="1" wp14:anchorId="66598E2A" wp14:editId="14AFDDDE">
              <wp:simplePos x="0" y="0"/>
              <wp:positionH relativeFrom="column">
                <wp:posOffset>2096770</wp:posOffset>
              </wp:positionH>
              <wp:positionV relativeFrom="paragraph">
                <wp:posOffset>-123825</wp:posOffset>
              </wp:positionV>
              <wp:extent cx="4921885" cy="323850"/>
              <wp:effectExtent l="0" t="0" r="1206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23850"/>
                      </a:xfrm>
                      <a:prstGeom prst="rect">
                        <a:avLst/>
                      </a:prstGeom>
                      <a:solidFill>
                        <a:srgbClr val="FFFFFF"/>
                      </a:solidFill>
                      <a:ln w="9525">
                        <a:solidFill>
                          <a:srgbClr val="FFFFFF"/>
                        </a:solidFill>
                        <a:miter lim="800000"/>
                        <a:headEnd/>
                        <a:tailEnd/>
                      </a:ln>
                    </wps:spPr>
                    <wps:txbx>
                      <w:txbxContent>
                        <w:p w:rsidR="00BE19D9" w:rsidRPr="00841F1C" w:rsidRDefault="00BE19D9" w:rsidP="00183009">
                          <w:pPr>
                            <w:widowControl w:val="0"/>
                            <w:rPr>
                              <w:lang w:val="es-ES"/>
                            </w:rPr>
                          </w:pPr>
                          <w:r w:rsidRPr="00841F1C">
                            <w:rPr>
                              <w:rFonts w:ascii="Arial Rounded MT Bold" w:hAnsi="Arial Rounded MT Bold"/>
                              <w:sz w:val="28"/>
                              <w:szCs w:val="28"/>
                              <w:lang w:val="es-ES"/>
                            </w:rPr>
                            <w:t xml:space="preserve">Análisis de riesgos en la cadena de fabricación del biodiésel </w:t>
                          </w:r>
                        </w:p>
                        <w:p w:rsidR="00BE19D9" w:rsidRPr="00841F1C" w:rsidRDefault="00BE19D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5.1pt;margin-top:-9.75pt;width:38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7IJw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" strokecolor="white">
              <v:textbox>
                <w:txbxContent>
                  <w:p w:rsidR="00BE19D9" w:rsidRPr="00841F1C" w:rsidRDefault="00BE19D9" w:rsidP="00183009">
                    <w:pPr>
                      <w:widowControl w:val="0"/>
                      <w:rPr>
                        <w:lang w:val="es-ES"/>
                      </w:rPr>
                    </w:pPr>
                    <w:r w:rsidRPr="00841F1C">
                      <w:rPr>
                        <w:rFonts w:ascii="Arial Rounded MT Bold" w:hAnsi="Arial Rounded MT Bold"/>
                        <w:sz w:val="28"/>
                        <w:szCs w:val="28"/>
                        <w:lang w:val="es-ES"/>
                      </w:rPr>
                      <w:t xml:space="preserve">Análisis de riesgos en la cadena de fabricación del biodiésel </w:t>
                    </w:r>
                  </w:p>
                  <w:p w:rsidR="00BE19D9" w:rsidRPr="00841F1C" w:rsidRDefault="00BE19D9">
                    <w:pPr>
                      <w:rPr>
                        <w:lang w:val="es-ES"/>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9DF43BF" wp14:editId="4536D5C5">
              <wp:simplePos x="0" y="0"/>
              <wp:positionH relativeFrom="column">
                <wp:posOffset>179070</wp:posOffset>
              </wp:positionH>
              <wp:positionV relativeFrom="paragraph">
                <wp:posOffset>-299085</wp:posOffset>
              </wp:positionV>
              <wp:extent cx="1680845" cy="779145"/>
              <wp:effectExtent l="0" t="0" r="14605"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779145"/>
                      </a:xfrm>
                      <a:prstGeom prst="rect">
                        <a:avLst/>
                      </a:prstGeom>
                      <a:solidFill>
                        <a:srgbClr val="FFFFFF"/>
                      </a:solidFill>
                      <a:ln w="9525">
                        <a:solidFill>
                          <a:srgbClr val="FFFFFF"/>
                        </a:solidFill>
                        <a:miter lim="800000"/>
                        <a:headEnd/>
                        <a:tailEnd/>
                      </a:ln>
                    </wps:spPr>
                    <wps:txbx>
                      <w:txbxContent>
                        <w:p w:rsidR="00BE19D9" w:rsidRPr="00A80199" w:rsidRDefault="00BE19D9" w:rsidP="00183009">
                          <w:pPr>
                            <w:widowControl w:val="0"/>
                            <w:rPr>
                              <w:rFonts w:ascii="Arial Narrow" w:hAnsi="Arial Narrow"/>
                              <w:color w:val="00B050"/>
                              <w:sz w:val="72"/>
                              <w:szCs w:val="72"/>
                            </w:rPr>
                          </w:pPr>
                          <w:r w:rsidRPr="00A80199">
                            <w:rPr>
                              <w:rFonts w:ascii="Arial Narrow" w:hAnsi="Arial Narrow"/>
                              <w:color w:val="00B050"/>
                              <w:sz w:val="72"/>
                              <w:szCs w:val="72"/>
                            </w:rPr>
                            <w:t>Piensos</w:t>
                          </w:r>
                        </w:p>
                        <w:p w:rsidR="00BE19D9" w:rsidRDefault="00BE19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4.1pt;margin-top:-23.55pt;width:132.35pt;height:61.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" strokecolor="white">
              <v:textbox style="mso-fit-shape-to-text:t">
                <w:txbxContent>
                  <w:p w:rsidR="00BE19D9" w:rsidRPr="00A80199" w:rsidRDefault="00BE19D9" w:rsidP="00183009">
                    <w:pPr>
                      <w:widowControl w:val="0"/>
                      <w:rPr>
                        <w:rFonts w:ascii="Arial Narrow" w:hAnsi="Arial Narrow"/>
                        <w:color w:val="00B050"/>
                        <w:sz w:val="72"/>
                        <w:szCs w:val="72"/>
                      </w:rPr>
                    </w:pPr>
                    <w:proofErr w:type="spellStart"/>
                    <w:r w:rsidRPr="00A80199">
                      <w:rPr>
                        <w:rFonts w:ascii="Arial Narrow" w:hAnsi="Arial Narrow"/>
                        <w:color w:val="00B050"/>
                        <w:sz w:val="72"/>
                        <w:szCs w:val="72"/>
                      </w:rPr>
                      <w:t>Piensos</w:t>
                    </w:r>
                    <w:proofErr w:type="spellEnd"/>
                  </w:p>
                  <w:p w:rsidR="00BE19D9" w:rsidRDefault="00BE19D9"/>
                </w:txbxContent>
              </v:textbox>
            </v:shape>
          </w:pict>
        </mc:Fallback>
      </mc:AlternateConten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D9" w:rsidRPr="00197C5A" w:rsidRDefault="00BE19D9" w:rsidP="00183009">
    <w:pPr>
      <w:pStyle w:val="Header"/>
      <w:tabs>
        <w:tab w:val="clear" w:pos="4536"/>
        <w:tab w:val="clear" w:pos="9072"/>
        <w:tab w:val="right" w:pos="8789"/>
      </w:tabs>
      <w:rPr>
        <w:b/>
        <w:sz w:val="24"/>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8190865</wp:posOffset>
              </wp:positionH>
              <wp:positionV relativeFrom="paragraph">
                <wp:posOffset>-180975</wp:posOffset>
              </wp:positionV>
              <wp:extent cx="1052195" cy="1303655"/>
              <wp:effectExtent l="0" t="0" r="1460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303655"/>
                      </a:xfrm>
                      <a:prstGeom prst="rect">
                        <a:avLst/>
                      </a:prstGeom>
                      <a:solidFill>
                        <a:srgbClr val="FFFFFF"/>
                      </a:solidFill>
                      <a:ln w="9525">
                        <a:solidFill>
                          <a:srgbClr val="FFFFFF"/>
                        </a:solidFill>
                        <a:miter lim="800000"/>
                        <a:headEnd/>
                        <a:tailEnd/>
                      </a:ln>
                    </wps:spPr>
                    <wps:txbx>
                      <w:txbxContent>
                        <w:p w:rsidR="00BE19D9" w:rsidRPr="00A80199" w:rsidRDefault="00BE19D9" w:rsidP="00183009">
                          <w:pPr>
                            <w:widowControl w:val="0"/>
                            <w:rPr>
                              <w:rFonts w:ascii="Arial Narrow" w:hAnsi="Arial Narrow"/>
                              <w:color w:val="00B050"/>
                              <w:sz w:val="72"/>
                              <w:szCs w:val="72"/>
                            </w:rPr>
                          </w:pPr>
                          <w:r w:rsidRPr="00A80199">
                            <w:rPr>
                              <w:rFonts w:ascii="Arial Narrow" w:hAnsi="Arial Narrow"/>
                              <w:color w:val="00B050"/>
                              <w:sz w:val="72"/>
                              <w:szCs w:val="72"/>
                            </w:rPr>
                            <w:t>Piensos</w:t>
                          </w:r>
                        </w:p>
                        <w:p w:rsidR="00BE19D9" w:rsidRDefault="00BE19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44.95pt;margin-top:-14.25pt;width:82.85pt;height:10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" strokecolor="white">
              <v:textbox style="mso-fit-shape-to-text:t">
                <w:txbxContent>
                  <w:p w:rsidR="00F818C1" w:rsidRPr="00A80199" w:rsidRDefault="00F818C1" w:rsidP="00183009">
                    <w:pPr>
                      <w:widowControl w:val="0"/>
                      <w:rPr>
                        <w:rFonts w:ascii="Arial Narrow" w:hAnsi="Arial Narrow"/>
                        <w:color w:val="00B050"/>
                        <w:sz w:val="72"/>
                        <w:szCs w:val="72"/>
                      </w:rPr>
                    </w:pPr>
                    <w:proofErr w:type="spellStart"/>
                    <w:r w:rsidRPr="00A80199">
                      <w:rPr>
                        <w:rFonts w:ascii="Arial Narrow" w:hAnsi="Arial Narrow"/>
                        <w:color w:val="00B050"/>
                        <w:sz w:val="72"/>
                        <w:szCs w:val="72"/>
                      </w:rPr>
                      <w:t>Piensos</w:t>
                    </w:r>
                    <w:proofErr w:type="spellEnd"/>
                  </w:p>
                  <w:p w:rsidR="00F818C1" w:rsidRDefault="00F818C1"/>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9.9pt;height:69.1pt" o:bullet="t">
        <v:imagedata r:id="rId1" o:title="ST Michel 34 Logo &amp; address FINAL_small png"/>
      </v:shape>
    </w:pict>
  </w:numPicBullet>
  <w:numPicBullet w:numPicBulletId="1">
    <w:pict>
      <v:shape id="_x0000_i1039" type="#_x0000_t75" style="width:9pt;height:9pt" o:bullet="t">
        <v:imagedata r:id="rId2" o:title="BD15021_"/>
      </v:shape>
    </w:pict>
  </w:numPicBullet>
  <w:abstractNum w:abstractNumId="0">
    <w:nsid w:val="01CF0966"/>
    <w:multiLevelType w:val="hybridMultilevel"/>
    <w:tmpl w:val="92042C90"/>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24DD7"/>
    <w:multiLevelType w:val="hybridMultilevel"/>
    <w:tmpl w:val="DF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02577"/>
    <w:multiLevelType w:val="hybridMultilevel"/>
    <w:tmpl w:val="1016982A"/>
    <w:lvl w:ilvl="0" w:tplc="07FCC59E">
      <w:start w:val="1"/>
      <w:numFmt w:val="bullet"/>
      <w:lvlText w:val=""/>
      <w:lvlJc w:val="left"/>
      <w:pPr>
        <w:tabs>
          <w:tab w:val="num" w:pos="717"/>
        </w:tabs>
        <w:ind w:left="717" w:hanging="360"/>
      </w:pPr>
      <w:rPr>
        <w:rFonts w:ascii="Symbol" w:hAnsi="Symbol" w:hint="default"/>
        <w:sz w:val="16"/>
      </w:rPr>
    </w:lvl>
    <w:lvl w:ilvl="1" w:tplc="1F0A041E">
      <w:start w:val="1"/>
      <w:numFmt w:val="bullet"/>
      <w:lvlText w:val="o"/>
      <w:lvlJc w:val="left"/>
      <w:pPr>
        <w:tabs>
          <w:tab w:val="num" w:pos="1443"/>
        </w:tabs>
        <w:ind w:left="1443" w:hanging="363"/>
      </w:pPr>
      <w:rPr>
        <w:rFonts w:ascii="Courier New" w:hAnsi="Courier New" w:cs="Times New Roman"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B6E316B"/>
    <w:multiLevelType w:val="hybridMultilevel"/>
    <w:tmpl w:val="19DC7E10"/>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367462"/>
    <w:multiLevelType w:val="multilevel"/>
    <w:tmpl w:val="69E055C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nsid w:val="13671280"/>
    <w:multiLevelType w:val="hybridMultilevel"/>
    <w:tmpl w:val="E8104494"/>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8349EB"/>
    <w:multiLevelType w:val="hybridMultilevel"/>
    <w:tmpl w:val="DE54C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81932"/>
    <w:multiLevelType w:val="hybridMultilevel"/>
    <w:tmpl w:val="9FBEE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216B37"/>
    <w:multiLevelType w:val="hybridMultilevel"/>
    <w:tmpl w:val="EA08B8AA"/>
    <w:lvl w:ilvl="0" w:tplc="E336489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ED50BEB"/>
    <w:multiLevelType w:val="multilevel"/>
    <w:tmpl w:val="BD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20EB4"/>
    <w:multiLevelType w:val="multilevel"/>
    <w:tmpl w:val="FBACAE7A"/>
    <w:name w:val="Liste 123"/>
    <w:lvl w:ilvl="0">
      <w:start w:val="1"/>
      <w:numFmt w:val="decimal"/>
      <w:lvlText w:val="%1."/>
      <w:lvlJc w:val="left"/>
      <w:pPr>
        <w:tabs>
          <w:tab w:val="num" w:pos="851"/>
        </w:tabs>
        <w:ind w:left="851" w:hanging="851"/>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1D3494F"/>
    <w:multiLevelType w:val="hybridMultilevel"/>
    <w:tmpl w:val="5B287BA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C51AF8"/>
    <w:multiLevelType w:val="hybridMultilevel"/>
    <w:tmpl w:val="8990C3D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0E319A"/>
    <w:multiLevelType w:val="hybridMultilevel"/>
    <w:tmpl w:val="09020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B5109DD"/>
    <w:multiLevelType w:val="hybridMultilevel"/>
    <w:tmpl w:val="27E4E4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CED4932"/>
    <w:multiLevelType w:val="multilevel"/>
    <w:tmpl w:val="AA60B07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036CCE"/>
    <w:multiLevelType w:val="hybridMultilevel"/>
    <w:tmpl w:val="C3DE8CCE"/>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EA93891"/>
    <w:multiLevelType w:val="hybridMultilevel"/>
    <w:tmpl w:val="90741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A97DD7"/>
    <w:multiLevelType w:val="hybridMultilevel"/>
    <w:tmpl w:val="0AF2419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0C1ACC"/>
    <w:multiLevelType w:val="hybridMultilevel"/>
    <w:tmpl w:val="832A6192"/>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34140"/>
    <w:multiLevelType w:val="multilevel"/>
    <w:tmpl w:val="D734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D0A"/>
    <w:multiLevelType w:val="hybridMultilevel"/>
    <w:tmpl w:val="984E5A26"/>
    <w:lvl w:ilvl="0" w:tplc="E336489C">
      <w:numFmt w:val="bullet"/>
      <w:lvlText w:val="-"/>
      <w:lvlJc w:val="left"/>
      <w:pPr>
        <w:ind w:left="2844" w:hanging="360"/>
      </w:pPr>
      <w:rPr>
        <w:rFonts w:ascii="Times New Roman" w:eastAsia="SimSun" w:hAnsi="Times New Roman" w:cs="Times New Roman"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nsid w:val="3EF6191B"/>
    <w:multiLevelType w:val="hybridMultilevel"/>
    <w:tmpl w:val="D2F47546"/>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0D973B7"/>
    <w:multiLevelType w:val="multilevel"/>
    <w:tmpl w:val="F3FA5612"/>
    <w:lvl w:ilvl="0">
      <w:start w:val="7"/>
      <w:numFmt w:val="decimal"/>
      <w:lvlText w:val="%1"/>
      <w:lvlJc w:val="left"/>
      <w:pPr>
        <w:ind w:left="360" w:hanging="3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7092" w:hanging="144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10278" w:hanging="1800"/>
      </w:pPr>
      <w:rPr>
        <w:rFonts w:hint="default"/>
      </w:rPr>
    </w:lvl>
    <w:lvl w:ilvl="7">
      <w:start w:val="1"/>
      <w:numFmt w:val="decimal"/>
      <w:lvlText w:val="%1.%2.%3.%4.%5.%6.%7.%8"/>
      <w:lvlJc w:val="left"/>
      <w:pPr>
        <w:ind w:left="12051" w:hanging="2160"/>
      </w:pPr>
      <w:rPr>
        <w:rFonts w:hint="default"/>
      </w:rPr>
    </w:lvl>
    <w:lvl w:ilvl="8">
      <w:start w:val="1"/>
      <w:numFmt w:val="decimal"/>
      <w:lvlText w:val="%1.%2.%3.%4.%5.%6.%7.%8.%9"/>
      <w:lvlJc w:val="left"/>
      <w:pPr>
        <w:ind w:left="13464" w:hanging="2160"/>
      </w:pPr>
      <w:rPr>
        <w:rFonts w:hint="default"/>
      </w:rPr>
    </w:lvl>
  </w:abstractNum>
  <w:abstractNum w:abstractNumId="27">
    <w:nsid w:val="42113FFC"/>
    <w:multiLevelType w:val="hybridMultilevel"/>
    <w:tmpl w:val="44F6D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74310EB"/>
    <w:multiLevelType w:val="hybridMultilevel"/>
    <w:tmpl w:val="8F0AFE00"/>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7960C2B"/>
    <w:multiLevelType w:val="hybridMultilevel"/>
    <w:tmpl w:val="E9A856C8"/>
    <w:lvl w:ilvl="0" w:tplc="0B147844">
      <w:start w:val="1"/>
      <w:numFmt w:val="bullet"/>
      <w:lvlText w:val=""/>
      <w:lvlPicBulletId w:val="1"/>
      <w:lvlJc w:val="left"/>
      <w:pPr>
        <w:tabs>
          <w:tab w:val="num" w:pos="786"/>
        </w:tabs>
        <w:ind w:left="786" w:hanging="360"/>
      </w:pPr>
      <w:rPr>
        <w:rFonts w:ascii="Symbol" w:hAnsi="Symbol" w:hint="default"/>
        <w:color w:val="auto"/>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30">
    <w:nsid w:val="4B276472"/>
    <w:multiLevelType w:val="hybridMultilevel"/>
    <w:tmpl w:val="442A7BF2"/>
    <w:lvl w:ilvl="0" w:tplc="BFC6C6A4">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hint="default"/>
      </w:rPr>
    </w:lvl>
    <w:lvl w:ilvl="8" w:tplc="040C0005">
      <w:start w:val="1"/>
      <w:numFmt w:val="bullet"/>
      <w:lvlText w:val=""/>
      <w:lvlJc w:val="left"/>
      <w:pPr>
        <w:ind w:left="6971" w:hanging="360"/>
      </w:pPr>
      <w:rPr>
        <w:rFonts w:ascii="Wingdings" w:hAnsi="Wingdings" w:hint="default"/>
      </w:rPr>
    </w:lvl>
  </w:abstractNum>
  <w:abstractNum w:abstractNumId="31">
    <w:nsid w:val="4DBC61F7"/>
    <w:multiLevelType w:val="hybridMultilevel"/>
    <w:tmpl w:val="0A129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5231E8"/>
    <w:multiLevelType w:val="hybridMultilevel"/>
    <w:tmpl w:val="2188E13A"/>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7C303D"/>
    <w:multiLevelType w:val="hybridMultilevel"/>
    <w:tmpl w:val="7C2AEF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8E7D43"/>
    <w:multiLevelType w:val="hybridMultilevel"/>
    <w:tmpl w:val="D222FCCC"/>
    <w:lvl w:ilvl="0" w:tplc="ED928788">
      <w:start w:val="1"/>
      <w:numFmt w:val="decimal"/>
      <w:lvlText w:val="%1."/>
      <w:lvlJc w:val="left"/>
      <w:pPr>
        <w:ind w:left="720" w:hanging="360"/>
      </w:pPr>
      <w:rPr>
        <w:rFonts w:ascii="Arial Rounded MT Bold" w:hAnsi="Arial Rounded MT Bold" w:cs="Times New Roman"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7225C"/>
    <w:multiLevelType w:val="multilevel"/>
    <w:tmpl w:val="D90E87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CB82A6C"/>
    <w:multiLevelType w:val="hybridMultilevel"/>
    <w:tmpl w:val="4E04819C"/>
    <w:lvl w:ilvl="0" w:tplc="4C1C29C8">
      <w:start w:val="1"/>
      <w:numFmt w:val="bullet"/>
      <w:lvlText w:val="-"/>
      <w:lvlJc w:val="left"/>
      <w:pPr>
        <w:ind w:left="1215" w:hanging="360"/>
      </w:pPr>
      <w:rPr>
        <w:rFonts w:ascii="Times New Roman" w:eastAsia="Times New Roman" w:hAnsi="Times New Roman" w:hint="default"/>
      </w:rPr>
    </w:lvl>
    <w:lvl w:ilvl="1" w:tplc="56AEDBFE">
      <w:start w:val="1"/>
      <w:numFmt w:val="bullet"/>
      <w:lvlText w:val="o"/>
      <w:lvlJc w:val="left"/>
      <w:pPr>
        <w:ind w:left="1935" w:hanging="360"/>
      </w:pPr>
      <w:rPr>
        <w:rFonts w:ascii="Courier New" w:hAnsi="Courier New" w:hint="default"/>
      </w:rPr>
    </w:lvl>
    <w:lvl w:ilvl="2" w:tplc="1ECCB98E">
      <w:start w:val="1"/>
      <w:numFmt w:val="bullet"/>
      <w:lvlText w:val=""/>
      <w:lvlJc w:val="left"/>
      <w:pPr>
        <w:ind w:left="2655" w:hanging="360"/>
      </w:pPr>
      <w:rPr>
        <w:rFonts w:ascii="Wingdings" w:hAnsi="Wingdings" w:hint="default"/>
      </w:rPr>
    </w:lvl>
    <w:lvl w:ilvl="3" w:tplc="189EA8E6">
      <w:start w:val="1"/>
      <w:numFmt w:val="bullet"/>
      <w:lvlText w:val=""/>
      <w:lvlJc w:val="left"/>
      <w:pPr>
        <w:ind w:left="3375" w:hanging="360"/>
      </w:pPr>
      <w:rPr>
        <w:rFonts w:ascii="Symbol" w:hAnsi="Symbol" w:hint="default"/>
      </w:rPr>
    </w:lvl>
    <w:lvl w:ilvl="4" w:tplc="F8D00176">
      <w:start w:val="1"/>
      <w:numFmt w:val="bullet"/>
      <w:lvlText w:val="o"/>
      <w:lvlJc w:val="left"/>
      <w:pPr>
        <w:ind w:left="4095" w:hanging="360"/>
      </w:pPr>
      <w:rPr>
        <w:rFonts w:ascii="Courier New" w:hAnsi="Courier New" w:hint="default"/>
      </w:rPr>
    </w:lvl>
    <w:lvl w:ilvl="5" w:tplc="573E3914">
      <w:start w:val="1"/>
      <w:numFmt w:val="bullet"/>
      <w:lvlText w:val=""/>
      <w:lvlJc w:val="left"/>
      <w:pPr>
        <w:ind w:left="4815" w:hanging="360"/>
      </w:pPr>
      <w:rPr>
        <w:rFonts w:ascii="Wingdings" w:hAnsi="Wingdings" w:hint="default"/>
      </w:rPr>
    </w:lvl>
    <w:lvl w:ilvl="6" w:tplc="3C12D694">
      <w:start w:val="1"/>
      <w:numFmt w:val="bullet"/>
      <w:lvlText w:val=""/>
      <w:lvlJc w:val="left"/>
      <w:pPr>
        <w:ind w:left="5535" w:hanging="360"/>
      </w:pPr>
      <w:rPr>
        <w:rFonts w:ascii="Symbol" w:hAnsi="Symbol" w:hint="default"/>
      </w:rPr>
    </w:lvl>
    <w:lvl w:ilvl="7" w:tplc="91526BC2">
      <w:start w:val="1"/>
      <w:numFmt w:val="bullet"/>
      <w:lvlText w:val="o"/>
      <w:lvlJc w:val="left"/>
      <w:pPr>
        <w:ind w:left="6255" w:hanging="360"/>
      </w:pPr>
      <w:rPr>
        <w:rFonts w:ascii="Courier New" w:hAnsi="Courier New" w:hint="default"/>
      </w:rPr>
    </w:lvl>
    <w:lvl w:ilvl="8" w:tplc="4B0C7982">
      <w:start w:val="1"/>
      <w:numFmt w:val="bullet"/>
      <w:lvlText w:val=""/>
      <w:lvlJc w:val="left"/>
      <w:pPr>
        <w:ind w:left="6975" w:hanging="360"/>
      </w:pPr>
      <w:rPr>
        <w:rFonts w:ascii="Wingdings" w:hAnsi="Wingdings" w:hint="default"/>
      </w:rPr>
    </w:lvl>
  </w:abstractNum>
  <w:abstractNum w:abstractNumId="37">
    <w:nsid w:val="6CC642F4"/>
    <w:multiLevelType w:val="hybridMultilevel"/>
    <w:tmpl w:val="FBF6D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D1F1396"/>
    <w:multiLevelType w:val="hybridMultilevel"/>
    <w:tmpl w:val="4622D558"/>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085655E"/>
    <w:multiLevelType w:val="hybridMultilevel"/>
    <w:tmpl w:val="0F80EF90"/>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443E62"/>
    <w:multiLevelType w:val="hybridMultilevel"/>
    <w:tmpl w:val="FD88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5"/>
  </w:num>
  <w:num w:numId="4">
    <w:abstractNumId w:val="32"/>
  </w:num>
  <w:num w:numId="5">
    <w:abstractNumId w:val="0"/>
  </w:num>
  <w:num w:numId="6">
    <w:abstractNumId w:val="33"/>
  </w:num>
  <w:num w:numId="7">
    <w:abstractNumId w:val="13"/>
  </w:num>
  <w:num w:numId="8">
    <w:abstractNumId w:val="39"/>
  </w:num>
  <w:num w:numId="9">
    <w:abstractNumId w:val="23"/>
  </w:num>
  <w:num w:numId="10">
    <w:abstractNumId w:val="9"/>
  </w:num>
  <w:num w:numId="11">
    <w:abstractNumId w:val="12"/>
  </w:num>
  <w:num w:numId="12">
    <w:abstractNumId w:val="36"/>
  </w:num>
  <w:num w:numId="13">
    <w:abstractNumId w:val="30"/>
  </w:num>
  <w:num w:numId="14">
    <w:abstractNumId w:val="7"/>
  </w:num>
  <w:num w:numId="15">
    <w:abstractNumId w:val="1"/>
  </w:num>
  <w:num w:numId="16">
    <w:abstractNumId w:val="19"/>
  </w:num>
  <w:num w:numId="17">
    <w:abstractNumId w:val="31"/>
  </w:num>
  <w:num w:numId="18">
    <w:abstractNumId w:val="2"/>
  </w:num>
  <w:num w:numId="19">
    <w:abstractNumId w:val="37"/>
  </w:num>
  <w:num w:numId="20">
    <w:abstractNumId w:val="4"/>
  </w:num>
  <w:num w:numId="21">
    <w:abstractNumId w:val="42"/>
  </w:num>
  <w:num w:numId="22">
    <w:abstractNumId w:val="28"/>
  </w:num>
  <w:num w:numId="23">
    <w:abstractNumId w:val="16"/>
  </w:num>
  <w:num w:numId="24">
    <w:abstractNumId w:val="6"/>
  </w:num>
  <w:num w:numId="25">
    <w:abstractNumId w:val="24"/>
  </w:num>
  <w:num w:numId="26">
    <w:abstractNumId w:val="34"/>
  </w:num>
  <w:num w:numId="27">
    <w:abstractNumId w:val="17"/>
  </w:num>
  <w:num w:numId="28">
    <w:abstractNumId w:val="35"/>
    <w:lvlOverride w:ilvl="0">
      <w:startOverride w:val="6"/>
    </w:lvlOverride>
  </w:num>
  <w:num w:numId="29">
    <w:abstractNumId w:val="11"/>
  </w:num>
  <w:num w:numId="30">
    <w:abstractNumId w:val="15"/>
  </w:num>
  <w:num w:numId="31">
    <w:abstractNumId w:val="22"/>
  </w:num>
  <w:num w:numId="32">
    <w:abstractNumId w:val="10"/>
  </w:num>
  <w:num w:numId="33">
    <w:abstractNumId w:val="38"/>
  </w:num>
  <w:num w:numId="34">
    <w:abstractNumId w:val="40"/>
  </w:num>
  <w:num w:numId="35">
    <w:abstractNumId w:val="5"/>
  </w:num>
  <w:num w:numId="36">
    <w:abstractNumId w:val="26"/>
  </w:num>
  <w:num w:numId="37">
    <w:abstractNumId w:val="14"/>
  </w:num>
  <w:num w:numId="38">
    <w:abstractNumId w:val="27"/>
  </w:num>
  <w:num w:numId="39">
    <w:abstractNumId w:val="21"/>
  </w:num>
  <w:num w:numId="40">
    <w:abstractNumId w:val="41"/>
  </w:num>
  <w:num w:numId="41">
    <w:abstractNumId w:val="25"/>
  </w:num>
  <w:num w:numId="42">
    <w:abstractNumId w:val="3"/>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LET EN"/>
  </w:docVars>
  <w:rsids>
    <w:rsidRoot w:val="004D1AD7"/>
    <w:rsid w:val="000050B7"/>
    <w:rsid w:val="00006AAF"/>
    <w:rsid w:val="00006ADA"/>
    <w:rsid w:val="000137B0"/>
    <w:rsid w:val="000160B1"/>
    <w:rsid w:val="00020681"/>
    <w:rsid w:val="00024170"/>
    <w:rsid w:val="00024577"/>
    <w:rsid w:val="00024A13"/>
    <w:rsid w:val="00025440"/>
    <w:rsid w:val="00025445"/>
    <w:rsid w:val="00036DE9"/>
    <w:rsid w:val="00044C0C"/>
    <w:rsid w:val="00055D0D"/>
    <w:rsid w:val="00056936"/>
    <w:rsid w:val="000621B5"/>
    <w:rsid w:val="00063494"/>
    <w:rsid w:val="00065F29"/>
    <w:rsid w:val="00067437"/>
    <w:rsid w:val="00070FEF"/>
    <w:rsid w:val="000728D7"/>
    <w:rsid w:val="00072A49"/>
    <w:rsid w:val="00072B5E"/>
    <w:rsid w:val="00073614"/>
    <w:rsid w:val="00073E32"/>
    <w:rsid w:val="00076622"/>
    <w:rsid w:val="000767F6"/>
    <w:rsid w:val="00082828"/>
    <w:rsid w:val="00083085"/>
    <w:rsid w:val="00093BF1"/>
    <w:rsid w:val="00097CE4"/>
    <w:rsid w:val="000A6745"/>
    <w:rsid w:val="000B1296"/>
    <w:rsid w:val="000B3AB1"/>
    <w:rsid w:val="000B5BA0"/>
    <w:rsid w:val="000C0621"/>
    <w:rsid w:val="000C417B"/>
    <w:rsid w:val="000C4E00"/>
    <w:rsid w:val="000C52F2"/>
    <w:rsid w:val="000C679F"/>
    <w:rsid w:val="000C7703"/>
    <w:rsid w:val="000D0A93"/>
    <w:rsid w:val="000D43B8"/>
    <w:rsid w:val="000D558A"/>
    <w:rsid w:val="000D63AA"/>
    <w:rsid w:val="000E66E5"/>
    <w:rsid w:val="000E7271"/>
    <w:rsid w:val="000F0077"/>
    <w:rsid w:val="000F1C47"/>
    <w:rsid w:val="001062E6"/>
    <w:rsid w:val="00120270"/>
    <w:rsid w:val="00120930"/>
    <w:rsid w:val="00123823"/>
    <w:rsid w:val="00123838"/>
    <w:rsid w:val="00123EED"/>
    <w:rsid w:val="00127622"/>
    <w:rsid w:val="001327AB"/>
    <w:rsid w:val="00132B80"/>
    <w:rsid w:val="00133433"/>
    <w:rsid w:val="001351E6"/>
    <w:rsid w:val="00136F2C"/>
    <w:rsid w:val="00137DC3"/>
    <w:rsid w:val="00141E5B"/>
    <w:rsid w:val="00147A0E"/>
    <w:rsid w:val="00151ACA"/>
    <w:rsid w:val="00154E0F"/>
    <w:rsid w:val="0015798E"/>
    <w:rsid w:val="00160497"/>
    <w:rsid w:val="0016375A"/>
    <w:rsid w:val="00183009"/>
    <w:rsid w:val="001946A3"/>
    <w:rsid w:val="001961E4"/>
    <w:rsid w:val="00197C5A"/>
    <w:rsid w:val="00197F1B"/>
    <w:rsid w:val="001A135A"/>
    <w:rsid w:val="001A405E"/>
    <w:rsid w:val="001B01FC"/>
    <w:rsid w:val="001C1343"/>
    <w:rsid w:val="001C3A68"/>
    <w:rsid w:val="001C5882"/>
    <w:rsid w:val="001D22F4"/>
    <w:rsid w:val="001D2477"/>
    <w:rsid w:val="001D5DE3"/>
    <w:rsid w:val="001D60DA"/>
    <w:rsid w:val="001E05FE"/>
    <w:rsid w:val="001E7FC9"/>
    <w:rsid w:val="0020639E"/>
    <w:rsid w:val="002153BA"/>
    <w:rsid w:val="00217A7D"/>
    <w:rsid w:val="00224937"/>
    <w:rsid w:val="0023340F"/>
    <w:rsid w:val="00233E3A"/>
    <w:rsid w:val="002408DC"/>
    <w:rsid w:val="00241EB4"/>
    <w:rsid w:val="00242D8A"/>
    <w:rsid w:val="00243AAB"/>
    <w:rsid w:val="00251EFD"/>
    <w:rsid w:val="002545DF"/>
    <w:rsid w:val="002553C5"/>
    <w:rsid w:val="0025643D"/>
    <w:rsid w:val="00257CF8"/>
    <w:rsid w:val="002611B2"/>
    <w:rsid w:val="0027238A"/>
    <w:rsid w:val="00273D92"/>
    <w:rsid w:val="00276654"/>
    <w:rsid w:val="00277318"/>
    <w:rsid w:val="00296E23"/>
    <w:rsid w:val="002A4021"/>
    <w:rsid w:val="002B0D15"/>
    <w:rsid w:val="002B2093"/>
    <w:rsid w:val="002B33BA"/>
    <w:rsid w:val="002B4EBF"/>
    <w:rsid w:val="002B77A2"/>
    <w:rsid w:val="002C2C5A"/>
    <w:rsid w:val="002C35C3"/>
    <w:rsid w:val="002C35C6"/>
    <w:rsid w:val="002D3548"/>
    <w:rsid w:val="002D4D47"/>
    <w:rsid w:val="002E52C2"/>
    <w:rsid w:val="002E55EF"/>
    <w:rsid w:val="002F0AB8"/>
    <w:rsid w:val="00300F3C"/>
    <w:rsid w:val="00301A1D"/>
    <w:rsid w:val="00302D9E"/>
    <w:rsid w:val="00303AC4"/>
    <w:rsid w:val="00304753"/>
    <w:rsid w:val="0031639C"/>
    <w:rsid w:val="00320589"/>
    <w:rsid w:val="003211B6"/>
    <w:rsid w:val="003273EF"/>
    <w:rsid w:val="0033448F"/>
    <w:rsid w:val="00337129"/>
    <w:rsid w:val="00337FB2"/>
    <w:rsid w:val="003440D6"/>
    <w:rsid w:val="00356D1C"/>
    <w:rsid w:val="0035700C"/>
    <w:rsid w:val="00363BDE"/>
    <w:rsid w:val="003737F1"/>
    <w:rsid w:val="00384804"/>
    <w:rsid w:val="00384D26"/>
    <w:rsid w:val="00387FC1"/>
    <w:rsid w:val="00391C42"/>
    <w:rsid w:val="00392641"/>
    <w:rsid w:val="003958A7"/>
    <w:rsid w:val="00396EC6"/>
    <w:rsid w:val="003A2B05"/>
    <w:rsid w:val="003A34DD"/>
    <w:rsid w:val="003B2746"/>
    <w:rsid w:val="003B5B27"/>
    <w:rsid w:val="003C2F0D"/>
    <w:rsid w:val="003D17F7"/>
    <w:rsid w:val="003D5254"/>
    <w:rsid w:val="003E010C"/>
    <w:rsid w:val="003E0838"/>
    <w:rsid w:val="003E083C"/>
    <w:rsid w:val="003E3DEF"/>
    <w:rsid w:val="003E5328"/>
    <w:rsid w:val="003E62F2"/>
    <w:rsid w:val="003F0098"/>
    <w:rsid w:val="003F1FF5"/>
    <w:rsid w:val="003F6B44"/>
    <w:rsid w:val="003F6C0F"/>
    <w:rsid w:val="00400C67"/>
    <w:rsid w:val="00401368"/>
    <w:rsid w:val="00405850"/>
    <w:rsid w:val="00412990"/>
    <w:rsid w:val="00416305"/>
    <w:rsid w:val="00421210"/>
    <w:rsid w:val="00421B8B"/>
    <w:rsid w:val="00427188"/>
    <w:rsid w:val="00427A3D"/>
    <w:rsid w:val="00436063"/>
    <w:rsid w:val="0044051E"/>
    <w:rsid w:val="004453A9"/>
    <w:rsid w:val="00446691"/>
    <w:rsid w:val="00453723"/>
    <w:rsid w:val="00454213"/>
    <w:rsid w:val="00463602"/>
    <w:rsid w:val="0046497A"/>
    <w:rsid w:val="00471E8D"/>
    <w:rsid w:val="00477850"/>
    <w:rsid w:val="00480496"/>
    <w:rsid w:val="004819D4"/>
    <w:rsid w:val="004822A0"/>
    <w:rsid w:val="00482D81"/>
    <w:rsid w:val="004831A2"/>
    <w:rsid w:val="004832A4"/>
    <w:rsid w:val="004835CF"/>
    <w:rsid w:val="0048779E"/>
    <w:rsid w:val="0049024D"/>
    <w:rsid w:val="00490C74"/>
    <w:rsid w:val="00492260"/>
    <w:rsid w:val="00493677"/>
    <w:rsid w:val="00494D0C"/>
    <w:rsid w:val="00496C0D"/>
    <w:rsid w:val="004A2A8A"/>
    <w:rsid w:val="004A3426"/>
    <w:rsid w:val="004A5EF5"/>
    <w:rsid w:val="004B1272"/>
    <w:rsid w:val="004B2FB4"/>
    <w:rsid w:val="004B3246"/>
    <w:rsid w:val="004B4DE2"/>
    <w:rsid w:val="004C07BD"/>
    <w:rsid w:val="004C162B"/>
    <w:rsid w:val="004C1DB8"/>
    <w:rsid w:val="004C645A"/>
    <w:rsid w:val="004C758F"/>
    <w:rsid w:val="004D14B9"/>
    <w:rsid w:val="004D1AD7"/>
    <w:rsid w:val="004D4347"/>
    <w:rsid w:val="004D5AB2"/>
    <w:rsid w:val="004D7624"/>
    <w:rsid w:val="004D7AD3"/>
    <w:rsid w:val="004D7CE5"/>
    <w:rsid w:val="004E2A83"/>
    <w:rsid w:val="004E2B6A"/>
    <w:rsid w:val="004E3ACA"/>
    <w:rsid w:val="004E54A8"/>
    <w:rsid w:val="004E6D41"/>
    <w:rsid w:val="004F26C9"/>
    <w:rsid w:val="004F2A09"/>
    <w:rsid w:val="004F2D87"/>
    <w:rsid w:val="004F4A2F"/>
    <w:rsid w:val="00502861"/>
    <w:rsid w:val="00507F95"/>
    <w:rsid w:val="005108AF"/>
    <w:rsid w:val="00510FD1"/>
    <w:rsid w:val="00515881"/>
    <w:rsid w:val="0052268B"/>
    <w:rsid w:val="00523E52"/>
    <w:rsid w:val="00525322"/>
    <w:rsid w:val="00536DD1"/>
    <w:rsid w:val="00542173"/>
    <w:rsid w:val="005450B4"/>
    <w:rsid w:val="00545727"/>
    <w:rsid w:val="00550C20"/>
    <w:rsid w:val="00551CD7"/>
    <w:rsid w:val="0055765D"/>
    <w:rsid w:val="00561388"/>
    <w:rsid w:val="00565264"/>
    <w:rsid w:val="00567397"/>
    <w:rsid w:val="00575312"/>
    <w:rsid w:val="00575960"/>
    <w:rsid w:val="00577B51"/>
    <w:rsid w:val="00577B75"/>
    <w:rsid w:val="00580DFB"/>
    <w:rsid w:val="00586F90"/>
    <w:rsid w:val="00587768"/>
    <w:rsid w:val="005879F8"/>
    <w:rsid w:val="00591963"/>
    <w:rsid w:val="00594E79"/>
    <w:rsid w:val="005A0181"/>
    <w:rsid w:val="005A0AC9"/>
    <w:rsid w:val="005A3788"/>
    <w:rsid w:val="005A4B4A"/>
    <w:rsid w:val="005A6305"/>
    <w:rsid w:val="005B3B72"/>
    <w:rsid w:val="005C03F3"/>
    <w:rsid w:val="005C5059"/>
    <w:rsid w:val="005C5BE8"/>
    <w:rsid w:val="005C6B94"/>
    <w:rsid w:val="005D1B93"/>
    <w:rsid w:val="005D5D64"/>
    <w:rsid w:val="005D5E3D"/>
    <w:rsid w:val="005E187D"/>
    <w:rsid w:val="005E640C"/>
    <w:rsid w:val="005F04E4"/>
    <w:rsid w:val="005F1A8F"/>
    <w:rsid w:val="005F3DE3"/>
    <w:rsid w:val="005F40D5"/>
    <w:rsid w:val="005F6623"/>
    <w:rsid w:val="0060304D"/>
    <w:rsid w:val="00621062"/>
    <w:rsid w:val="006221FD"/>
    <w:rsid w:val="0062274A"/>
    <w:rsid w:val="0062416B"/>
    <w:rsid w:val="00624A50"/>
    <w:rsid w:val="0063108E"/>
    <w:rsid w:val="006316BC"/>
    <w:rsid w:val="00633719"/>
    <w:rsid w:val="00640844"/>
    <w:rsid w:val="00642CAA"/>
    <w:rsid w:val="00646C8C"/>
    <w:rsid w:val="006558BC"/>
    <w:rsid w:val="00660F29"/>
    <w:rsid w:val="00665768"/>
    <w:rsid w:val="00665DE8"/>
    <w:rsid w:val="00667EF1"/>
    <w:rsid w:val="00672E3C"/>
    <w:rsid w:val="00673C87"/>
    <w:rsid w:val="00673F18"/>
    <w:rsid w:val="00677000"/>
    <w:rsid w:val="00680F51"/>
    <w:rsid w:val="0068260F"/>
    <w:rsid w:val="006830AD"/>
    <w:rsid w:val="006857A4"/>
    <w:rsid w:val="00687C0E"/>
    <w:rsid w:val="00694782"/>
    <w:rsid w:val="00697308"/>
    <w:rsid w:val="006A2972"/>
    <w:rsid w:val="006A63A8"/>
    <w:rsid w:val="006B2C3B"/>
    <w:rsid w:val="006B3301"/>
    <w:rsid w:val="006C2D6A"/>
    <w:rsid w:val="006C5888"/>
    <w:rsid w:val="006D3ABA"/>
    <w:rsid w:val="006D6874"/>
    <w:rsid w:val="006E721D"/>
    <w:rsid w:val="006F4A5D"/>
    <w:rsid w:val="00710316"/>
    <w:rsid w:val="00712268"/>
    <w:rsid w:val="00716A5A"/>
    <w:rsid w:val="007207A0"/>
    <w:rsid w:val="0072409A"/>
    <w:rsid w:val="00725858"/>
    <w:rsid w:val="00731393"/>
    <w:rsid w:val="007477A4"/>
    <w:rsid w:val="007541F5"/>
    <w:rsid w:val="00767934"/>
    <w:rsid w:val="007700BC"/>
    <w:rsid w:val="00770353"/>
    <w:rsid w:val="00770EA4"/>
    <w:rsid w:val="007721B9"/>
    <w:rsid w:val="00774B93"/>
    <w:rsid w:val="00775892"/>
    <w:rsid w:val="0078175B"/>
    <w:rsid w:val="00784AA7"/>
    <w:rsid w:val="00793196"/>
    <w:rsid w:val="007972CE"/>
    <w:rsid w:val="007A766C"/>
    <w:rsid w:val="007B1792"/>
    <w:rsid w:val="007B5B25"/>
    <w:rsid w:val="007B630C"/>
    <w:rsid w:val="007C09D3"/>
    <w:rsid w:val="007C2084"/>
    <w:rsid w:val="007C363B"/>
    <w:rsid w:val="007D3F9B"/>
    <w:rsid w:val="007D5256"/>
    <w:rsid w:val="007E31B2"/>
    <w:rsid w:val="007E4F01"/>
    <w:rsid w:val="007E626C"/>
    <w:rsid w:val="007F05F3"/>
    <w:rsid w:val="007F0BAC"/>
    <w:rsid w:val="007F7FC9"/>
    <w:rsid w:val="00800E2C"/>
    <w:rsid w:val="008018BF"/>
    <w:rsid w:val="00814E32"/>
    <w:rsid w:val="00815334"/>
    <w:rsid w:val="008154BD"/>
    <w:rsid w:val="00816A4D"/>
    <w:rsid w:val="00821E9F"/>
    <w:rsid w:val="00825340"/>
    <w:rsid w:val="00826576"/>
    <w:rsid w:val="0084091A"/>
    <w:rsid w:val="00841F1C"/>
    <w:rsid w:val="00842911"/>
    <w:rsid w:val="00843954"/>
    <w:rsid w:val="00846B9A"/>
    <w:rsid w:val="0084747E"/>
    <w:rsid w:val="00850EB4"/>
    <w:rsid w:val="0085166B"/>
    <w:rsid w:val="008551A2"/>
    <w:rsid w:val="00856CBD"/>
    <w:rsid w:val="00863625"/>
    <w:rsid w:val="008645CC"/>
    <w:rsid w:val="00864B41"/>
    <w:rsid w:val="008651D8"/>
    <w:rsid w:val="008652C5"/>
    <w:rsid w:val="00865A1B"/>
    <w:rsid w:val="008675C9"/>
    <w:rsid w:val="00870967"/>
    <w:rsid w:val="00874BA4"/>
    <w:rsid w:val="00883B0E"/>
    <w:rsid w:val="00891CF0"/>
    <w:rsid w:val="00891D71"/>
    <w:rsid w:val="00892146"/>
    <w:rsid w:val="008943A4"/>
    <w:rsid w:val="008A535C"/>
    <w:rsid w:val="008A5677"/>
    <w:rsid w:val="008A5B95"/>
    <w:rsid w:val="008A645C"/>
    <w:rsid w:val="008B20E6"/>
    <w:rsid w:val="008B7C7D"/>
    <w:rsid w:val="008C1157"/>
    <w:rsid w:val="008C5EFF"/>
    <w:rsid w:val="008C7C3E"/>
    <w:rsid w:val="008C7FD5"/>
    <w:rsid w:val="008E096A"/>
    <w:rsid w:val="008E0C3A"/>
    <w:rsid w:val="008E1111"/>
    <w:rsid w:val="008E1E10"/>
    <w:rsid w:val="008E37DA"/>
    <w:rsid w:val="008E5292"/>
    <w:rsid w:val="008E5964"/>
    <w:rsid w:val="008F2137"/>
    <w:rsid w:val="008F332C"/>
    <w:rsid w:val="008F6CFB"/>
    <w:rsid w:val="008F6D2A"/>
    <w:rsid w:val="00900754"/>
    <w:rsid w:val="009054A0"/>
    <w:rsid w:val="0090580E"/>
    <w:rsid w:val="00906B22"/>
    <w:rsid w:val="00906E97"/>
    <w:rsid w:val="009132A3"/>
    <w:rsid w:val="00916804"/>
    <w:rsid w:val="00916918"/>
    <w:rsid w:val="00916B7E"/>
    <w:rsid w:val="009218C6"/>
    <w:rsid w:val="00926D29"/>
    <w:rsid w:val="009301A1"/>
    <w:rsid w:val="009349BA"/>
    <w:rsid w:val="00942E2E"/>
    <w:rsid w:val="009433C8"/>
    <w:rsid w:val="009509A0"/>
    <w:rsid w:val="009533E3"/>
    <w:rsid w:val="00957197"/>
    <w:rsid w:val="00957D33"/>
    <w:rsid w:val="00962636"/>
    <w:rsid w:val="0096471D"/>
    <w:rsid w:val="00967CE9"/>
    <w:rsid w:val="0097201B"/>
    <w:rsid w:val="00972405"/>
    <w:rsid w:val="00974AB8"/>
    <w:rsid w:val="00977F3C"/>
    <w:rsid w:val="0098367C"/>
    <w:rsid w:val="00990058"/>
    <w:rsid w:val="00993467"/>
    <w:rsid w:val="0099643E"/>
    <w:rsid w:val="009A0A3C"/>
    <w:rsid w:val="009A2121"/>
    <w:rsid w:val="009A2CDE"/>
    <w:rsid w:val="009A3C54"/>
    <w:rsid w:val="009A6D17"/>
    <w:rsid w:val="009C1822"/>
    <w:rsid w:val="009C2F6A"/>
    <w:rsid w:val="009D1E57"/>
    <w:rsid w:val="009D6DEC"/>
    <w:rsid w:val="009E0A14"/>
    <w:rsid w:val="009E27A2"/>
    <w:rsid w:val="009E4596"/>
    <w:rsid w:val="009F3010"/>
    <w:rsid w:val="009F5405"/>
    <w:rsid w:val="009F62F8"/>
    <w:rsid w:val="009F6611"/>
    <w:rsid w:val="00A0169D"/>
    <w:rsid w:val="00A05D4A"/>
    <w:rsid w:val="00A12F72"/>
    <w:rsid w:val="00A2053F"/>
    <w:rsid w:val="00A21C56"/>
    <w:rsid w:val="00A246EB"/>
    <w:rsid w:val="00A24EA6"/>
    <w:rsid w:val="00A25223"/>
    <w:rsid w:val="00A31C4F"/>
    <w:rsid w:val="00A355A2"/>
    <w:rsid w:val="00A36318"/>
    <w:rsid w:val="00A364D8"/>
    <w:rsid w:val="00A54A61"/>
    <w:rsid w:val="00A6285B"/>
    <w:rsid w:val="00A767A8"/>
    <w:rsid w:val="00A8208F"/>
    <w:rsid w:val="00A867DE"/>
    <w:rsid w:val="00AA243F"/>
    <w:rsid w:val="00AA6A8C"/>
    <w:rsid w:val="00AB104D"/>
    <w:rsid w:val="00AB1F25"/>
    <w:rsid w:val="00AB4A6A"/>
    <w:rsid w:val="00AB5105"/>
    <w:rsid w:val="00AB7EF3"/>
    <w:rsid w:val="00AC6825"/>
    <w:rsid w:val="00AC7C42"/>
    <w:rsid w:val="00AD370B"/>
    <w:rsid w:val="00AD45C9"/>
    <w:rsid w:val="00AD4F35"/>
    <w:rsid w:val="00AE152A"/>
    <w:rsid w:val="00AE2290"/>
    <w:rsid w:val="00AE2E62"/>
    <w:rsid w:val="00AE710F"/>
    <w:rsid w:val="00AF545F"/>
    <w:rsid w:val="00AF5B37"/>
    <w:rsid w:val="00AF5CD3"/>
    <w:rsid w:val="00B01145"/>
    <w:rsid w:val="00B01B89"/>
    <w:rsid w:val="00B03151"/>
    <w:rsid w:val="00B06E5A"/>
    <w:rsid w:val="00B11259"/>
    <w:rsid w:val="00B11CE0"/>
    <w:rsid w:val="00B13882"/>
    <w:rsid w:val="00B13F5F"/>
    <w:rsid w:val="00B25DCF"/>
    <w:rsid w:val="00B324B4"/>
    <w:rsid w:val="00B349FE"/>
    <w:rsid w:val="00B444D8"/>
    <w:rsid w:val="00B53458"/>
    <w:rsid w:val="00B631D4"/>
    <w:rsid w:val="00B643BC"/>
    <w:rsid w:val="00B702B6"/>
    <w:rsid w:val="00B7039A"/>
    <w:rsid w:val="00B72754"/>
    <w:rsid w:val="00B72C0F"/>
    <w:rsid w:val="00B736FE"/>
    <w:rsid w:val="00B73768"/>
    <w:rsid w:val="00B80F9F"/>
    <w:rsid w:val="00B83F4C"/>
    <w:rsid w:val="00B8437E"/>
    <w:rsid w:val="00B869C8"/>
    <w:rsid w:val="00B86C6B"/>
    <w:rsid w:val="00B87D01"/>
    <w:rsid w:val="00B92324"/>
    <w:rsid w:val="00B95719"/>
    <w:rsid w:val="00BA26DA"/>
    <w:rsid w:val="00BA43AC"/>
    <w:rsid w:val="00BB4AE6"/>
    <w:rsid w:val="00BB6318"/>
    <w:rsid w:val="00BD3ECF"/>
    <w:rsid w:val="00BD5074"/>
    <w:rsid w:val="00BD667B"/>
    <w:rsid w:val="00BD73C4"/>
    <w:rsid w:val="00BD7F30"/>
    <w:rsid w:val="00BE0625"/>
    <w:rsid w:val="00BE19D9"/>
    <w:rsid w:val="00BE3A6D"/>
    <w:rsid w:val="00BE596F"/>
    <w:rsid w:val="00BE6EF6"/>
    <w:rsid w:val="00BF3FB9"/>
    <w:rsid w:val="00BF712B"/>
    <w:rsid w:val="00C01EBB"/>
    <w:rsid w:val="00C021E9"/>
    <w:rsid w:val="00C04186"/>
    <w:rsid w:val="00C05BEE"/>
    <w:rsid w:val="00C073B6"/>
    <w:rsid w:val="00C0787D"/>
    <w:rsid w:val="00C150D2"/>
    <w:rsid w:val="00C20A50"/>
    <w:rsid w:val="00C2481A"/>
    <w:rsid w:val="00C24B83"/>
    <w:rsid w:val="00C319F3"/>
    <w:rsid w:val="00C42194"/>
    <w:rsid w:val="00C44657"/>
    <w:rsid w:val="00C46A1D"/>
    <w:rsid w:val="00C475B7"/>
    <w:rsid w:val="00C50BC8"/>
    <w:rsid w:val="00C53E5C"/>
    <w:rsid w:val="00C60B69"/>
    <w:rsid w:val="00C6152D"/>
    <w:rsid w:val="00C63B1C"/>
    <w:rsid w:val="00C66153"/>
    <w:rsid w:val="00C6786A"/>
    <w:rsid w:val="00C71A67"/>
    <w:rsid w:val="00C724B8"/>
    <w:rsid w:val="00C76E35"/>
    <w:rsid w:val="00C8714F"/>
    <w:rsid w:val="00C92347"/>
    <w:rsid w:val="00C967EF"/>
    <w:rsid w:val="00CA1685"/>
    <w:rsid w:val="00CB1F06"/>
    <w:rsid w:val="00CB2462"/>
    <w:rsid w:val="00CB6F5D"/>
    <w:rsid w:val="00CB7710"/>
    <w:rsid w:val="00CC0085"/>
    <w:rsid w:val="00CC2654"/>
    <w:rsid w:val="00CC3247"/>
    <w:rsid w:val="00CC33EE"/>
    <w:rsid w:val="00CC3C71"/>
    <w:rsid w:val="00CC3E29"/>
    <w:rsid w:val="00CC6FC6"/>
    <w:rsid w:val="00CD1365"/>
    <w:rsid w:val="00CD2F0A"/>
    <w:rsid w:val="00CD3302"/>
    <w:rsid w:val="00CE02F7"/>
    <w:rsid w:val="00CE6A2B"/>
    <w:rsid w:val="00CF1843"/>
    <w:rsid w:val="00CF1C4F"/>
    <w:rsid w:val="00CF2D05"/>
    <w:rsid w:val="00CF3131"/>
    <w:rsid w:val="00CF7A87"/>
    <w:rsid w:val="00D008C8"/>
    <w:rsid w:val="00D03F40"/>
    <w:rsid w:val="00D05EA6"/>
    <w:rsid w:val="00D10ECC"/>
    <w:rsid w:val="00D117AF"/>
    <w:rsid w:val="00D11B5D"/>
    <w:rsid w:val="00D1315D"/>
    <w:rsid w:val="00D13F48"/>
    <w:rsid w:val="00D22F2F"/>
    <w:rsid w:val="00D23094"/>
    <w:rsid w:val="00D23DAB"/>
    <w:rsid w:val="00D326E4"/>
    <w:rsid w:val="00D35391"/>
    <w:rsid w:val="00D36EBA"/>
    <w:rsid w:val="00D46227"/>
    <w:rsid w:val="00D50EE8"/>
    <w:rsid w:val="00D562AC"/>
    <w:rsid w:val="00D61AB0"/>
    <w:rsid w:val="00D70570"/>
    <w:rsid w:val="00D77B82"/>
    <w:rsid w:val="00D80406"/>
    <w:rsid w:val="00D821F8"/>
    <w:rsid w:val="00D86426"/>
    <w:rsid w:val="00D87E19"/>
    <w:rsid w:val="00DA6FF0"/>
    <w:rsid w:val="00DB3273"/>
    <w:rsid w:val="00DB5A74"/>
    <w:rsid w:val="00DB5BD0"/>
    <w:rsid w:val="00DC22F0"/>
    <w:rsid w:val="00DC2789"/>
    <w:rsid w:val="00DC50EA"/>
    <w:rsid w:val="00DC7AD5"/>
    <w:rsid w:val="00DC7C9D"/>
    <w:rsid w:val="00DD0A1C"/>
    <w:rsid w:val="00DD2B83"/>
    <w:rsid w:val="00DD7B4B"/>
    <w:rsid w:val="00DF1B86"/>
    <w:rsid w:val="00DF35BC"/>
    <w:rsid w:val="00DF4C98"/>
    <w:rsid w:val="00DF4D1C"/>
    <w:rsid w:val="00E016F1"/>
    <w:rsid w:val="00E027EC"/>
    <w:rsid w:val="00E0569C"/>
    <w:rsid w:val="00E056BB"/>
    <w:rsid w:val="00E12978"/>
    <w:rsid w:val="00E13395"/>
    <w:rsid w:val="00E1721D"/>
    <w:rsid w:val="00E23DD5"/>
    <w:rsid w:val="00E252E3"/>
    <w:rsid w:val="00E2750A"/>
    <w:rsid w:val="00E27DEF"/>
    <w:rsid w:val="00E32034"/>
    <w:rsid w:val="00E32724"/>
    <w:rsid w:val="00E33DAE"/>
    <w:rsid w:val="00E364A7"/>
    <w:rsid w:val="00E4063B"/>
    <w:rsid w:val="00E5180C"/>
    <w:rsid w:val="00E51EED"/>
    <w:rsid w:val="00E52ECF"/>
    <w:rsid w:val="00E5433C"/>
    <w:rsid w:val="00E54828"/>
    <w:rsid w:val="00E54F51"/>
    <w:rsid w:val="00E560CC"/>
    <w:rsid w:val="00E57AFB"/>
    <w:rsid w:val="00E609CF"/>
    <w:rsid w:val="00E61891"/>
    <w:rsid w:val="00E61E36"/>
    <w:rsid w:val="00E63462"/>
    <w:rsid w:val="00E65418"/>
    <w:rsid w:val="00E67C19"/>
    <w:rsid w:val="00E720EF"/>
    <w:rsid w:val="00E752D5"/>
    <w:rsid w:val="00E75B32"/>
    <w:rsid w:val="00E80F73"/>
    <w:rsid w:val="00E83E76"/>
    <w:rsid w:val="00E851BD"/>
    <w:rsid w:val="00E92A39"/>
    <w:rsid w:val="00E968C0"/>
    <w:rsid w:val="00EB3AF9"/>
    <w:rsid w:val="00ED65E2"/>
    <w:rsid w:val="00EE42A6"/>
    <w:rsid w:val="00EF1FFD"/>
    <w:rsid w:val="00EF37AB"/>
    <w:rsid w:val="00F011E8"/>
    <w:rsid w:val="00F029E4"/>
    <w:rsid w:val="00F04046"/>
    <w:rsid w:val="00F07020"/>
    <w:rsid w:val="00F0741C"/>
    <w:rsid w:val="00F13477"/>
    <w:rsid w:val="00F26ED8"/>
    <w:rsid w:val="00F310ED"/>
    <w:rsid w:val="00F33163"/>
    <w:rsid w:val="00F3504F"/>
    <w:rsid w:val="00F45952"/>
    <w:rsid w:val="00F459E7"/>
    <w:rsid w:val="00F47374"/>
    <w:rsid w:val="00F508C9"/>
    <w:rsid w:val="00F50C0B"/>
    <w:rsid w:val="00F541A5"/>
    <w:rsid w:val="00F60490"/>
    <w:rsid w:val="00F61534"/>
    <w:rsid w:val="00F66E5E"/>
    <w:rsid w:val="00F67085"/>
    <w:rsid w:val="00F72532"/>
    <w:rsid w:val="00F726A9"/>
    <w:rsid w:val="00F812CE"/>
    <w:rsid w:val="00F818C1"/>
    <w:rsid w:val="00F81C3B"/>
    <w:rsid w:val="00F822E2"/>
    <w:rsid w:val="00F8756D"/>
    <w:rsid w:val="00F91B4F"/>
    <w:rsid w:val="00F9305F"/>
    <w:rsid w:val="00F9433E"/>
    <w:rsid w:val="00F95139"/>
    <w:rsid w:val="00FA07B5"/>
    <w:rsid w:val="00FA37B8"/>
    <w:rsid w:val="00FA57AB"/>
    <w:rsid w:val="00FA7BE1"/>
    <w:rsid w:val="00FB0CCD"/>
    <w:rsid w:val="00FB1FE7"/>
    <w:rsid w:val="00FB4DDD"/>
    <w:rsid w:val="00FC09E7"/>
    <w:rsid w:val="00FC5D70"/>
    <w:rsid w:val="00FC7C00"/>
    <w:rsid w:val="00FD03BD"/>
    <w:rsid w:val="00FD09BC"/>
    <w:rsid w:val="00FD3128"/>
    <w:rsid w:val="00FD42C9"/>
    <w:rsid w:val="00FD4587"/>
    <w:rsid w:val="00FE1541"/>
    <w:rsid w:val="00FE211C"/>
    <w:rsid w:val="00FF185B"/>
    <w:rsid w:val="00FF6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lang w:eastAsia="fr-FR"/>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en-GB" w:eastAsia="fr-FR"/>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lang w:val="fr-BE" w:eastAsia="fr-BE"/>
    </w:rPr>
  </w:style>
  <w:style w:type="paragraph" w:styleId="BodyText">
    <w:name w:val="Body Text"/>
    <w:basedOn w:val="Normal"/>
    <w:link w:val="BodyTextChar"/>
    <w:rsid w:val="0033448F"/>
    <w:pPr>
      <w:jc w:val="both"/>
    </w:pPr>
    <w:rPr>
      <w:rFonts w:eastAsia="SimSun"/>
      <w:lang w:eastAsia="zh-CN"/>
    </w:rPr>
  </w:style>
  <w:style w:type="character" w:customStyle="1" w:styleId="BodyTextChar">
    <w:name w:val="Body Text Char"/>
    <w:link w:val="BodyText"/>
    <w:rsid w:val="0033448F"/>
    <w:rPr>
      <w:rFonts w:ascii="Tahoma" w:eastAsia="SimSun" w:hAnsi="Tahoma" w:cs="Tahoma"/>
      <w:szCs w:val="24"/>
      <w:lang w:val="en-GB" w:eastAsia="zh-CN"/>
    </w:rPr>
  </w:style>
  <w:style w:type="paragraph" w:styleId="NoSpacing">
    <w:name w:val="No Spacing"/>
    <w:uiPriority w:val="1"/>
    <w:qFormat/>
    <w:rsid w:val="006C2D6A"/>
    <w:pPr>
      <w:jc w:val="both"/>
    </w:pPr>
    <w:rPr>
      <w:rFonts w:ascii="Tahoma" w:eastAsia="Calibri" w:hAnsi="Tahoma"/>
      <w:szCs w:val="22"/>
      <w:lang w:eastAsia="en-US"/>
    </w:rPr>
  </w:style>
  <w:style w:type="paragraph" w:customStyle="1" w:styleId="Corpsdetexte6">
    <w:name w:val="Corps de texte 6"/>
    <w:basedOn w:val="Normal"/>
    <w:rsid w:val="000160B1"/>
    <w:pPr>
      <w:spacing w:after="240"/>
      <w:ind w:left="1985"/>
      <w:jc w:val="both"/>
    </w:pPr>
    <w:rPr>
      <w:rFonts w:ascii="Times New Roman" w:hAnsi="Times New Roman"/>
      <w:sz w:val="22"/>
      <w:szCs w:val="22"/>
      <w:lang w:val="fr-FR" w:eastAsia="en-US"/>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lang w:val="fr-FR" w:eastAsia="en-US"/>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lang w:val="fr-FR" w:eastAsia="en-US"/>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fr-FR" w:eastAsia="en-US"/>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lang w:val="fr-BE" w:eastAsia="fr-BE"/>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lang w:val="fr-BE" w:eastAsia="fr-BE"/>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fr-FR"/>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fr-FR"/>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lang w:val="en-US" w:eastAsia="ja-JP"/>
    </w:rPr>
  </w:style>
  <w:style w:type="character" w:customStyle="1" w:styleId="Heading1Char">
    <w:name w:val="Heading 1 Char"/>
    <w:link w:val="Heading1"/>
    <w:uiPriority w:val="9"/>
    <w:rsid w:val="00006AAF"/>
    <w:rPr>
      <w:rFonts w:ascii="Tahoma" w:hAnsi="Tahoma" w:cs="Arial"/>
      <w:b/>
      <w:bCs/>
      <w:kern w:val="32"/>
      <w:sz w:val="24"/>
      <w:szCs w:val="32"/>
      <w:lang w:val="en-GB" w:eastAsia="fr-FR"/>
    </w:rPr>
  </w:style>
  <w:style w:type="paragraph" w:customStyle="1" w:styleId="Default">
    <w:name w:val="Default"/>
    <w:rsid w:val="008645CC"/>
    <w:pPr>
      <w:autoSpaceDE w:val="0"/>
      <w:autoSpaceDN w:val="0"/>
      <w:adjustRightInd w:val="0"/>
    </w:pPr>
    <w:rPr>
      <w:rFonts w:ascii="Arial" w:hAnsi="Arial" w:cs="Arial"/>
      <w:color w:val="000000"/>
      <w:sz w:val="24"/>
      <w:szCs w:val="24"/>
      <w:lang w:val="fr-BE" w:eastAsia="fr-BE"/>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fr-FR"/>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fr-FR"/>
    </w:rPr>
  </w:style>
  <w:style w:type="paragraph" w:styleId="Title">
    <w:name w:val="Title"/>
    <w:basedOn w:val="Normal"/>
    <w:link w:val="TitleChar"/>
    <w:qFormat/>
    <w:rsid w:val="005C03F3"/>
    <w:pPr>
      <w:jc w:val="center"/>
    </w:pPr>
    <w:rPr>
      <w:rFonts w:ascii="Antique Olive" w:hAnsi="Antique Olive"/>
      <w:b/>
      <w:bCs/>
      <w:sz w:val="28"/>
      <w:szCs w:val="28"/>
      <w:u w:val="single"/>
      <w:lang w:val="fr-BE"/>
    </w:rPr>
  </w:style>
  <w:style w:type="character" w:customStyle="1" w:styleId="TitleChar">
    <w:name w:val="Title Char"/>
    <w:link w:val="Title"/>
    <w:rsid w:val="005C03F3"/>
    <w:rPr>
      <w:rFonts w:ascii="Antique Olive" w:hAnsi="Antique Olive"/>
      <w:b/>
      <w:bCs/>
      <w:sz w:val="28"/>
      <w:szCs w:val="28"/>
      <w:u w:val="single"/>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lang w:eastAsia="fr-FR"/>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en-GB" w:eastAsia="fr-FR"/>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lang w:val="fr-BE" w:eastAsia="fr-BE"/>
    </w:rPr>
  </w:style>
  <w:style w:type="paragraph" w:styleId="BodyText">
    <w:name w:val="Body Text"/>
    <w:basedOn w:val="Normal"/>
    <w:link w:val="BodyTextChar"/>
    <w:rsid w:val="0033448F"/>
    <w:pPr>
      <w:jc w:val="both"/>
    </w:pPr>
    <w:rPr>
      <w:rFonts w:eastAsia="SimSun"/>
      <w:lang w:eastAsia="zh-CN"/>
    </w:rPr>
  </w:style>
  <w:style w:type="character" w:customStyle="1" w:styleId="BodyTextChar">
    <w:name w:val="Body Text Char"/>
    <w:link w:val="BodyText"/>
    <w:rsid w:val="0033448F"/>
    <w:rPr>
      <w:rFonts w:ascii="Tahoma" w:eastAsia="SimSun" w:hAnsi="Tahoma" w:cs="Tahoma"/>
      <w:szCs w:val="24"/>
      <w:lang w:val="en-GB" w:eastAsia="zh-CN"/>
    </w:rPr>
  </w:style>
  <w:style w:type="paragraph" w:styleId="NoSpacing">
    <w:name w:val="No Spacing"/>
    <w:uiPriority w:val="1"/>
    <w:qFormat/>
    <w:rsid w:val="006C2D6A"/>
    <w:pPr>
      <w:jc w:val="both"/>
    </w:pPr>
    <w:rPr>
      <w:rFonts w:ascii="Tahoma" w:eastAsia="Calibri" w:hAnsi="Tahoma"/>
      <w:szCs w:val="22"/>
      <w:lang w:eastAsia="en-US"/>
    </w:rPr>
  </w:style>
  <w:style w:type="paragraph" w:customStyle="1" w:styleId="Corpsdetexte6">
    <w:name w:val="Corps de texte 6"/>
    <w:basedOn w:val="Normal"/>
    <w:rsid w:val="000160B1"/>
    <w:pPr>
      <w:spacing w:after="240"/>
      <w:ind w:left="1985"/>
      <w:jc w:val="both"/>
    </w:pPr>
    <w:rPr>
      <w:rFonts w:ascii="Times New Roman" w:hAnsi="Times New Roman"/>
      <w:sz w:val="22"/>
      <w:szCs w:val="22"/>
      <w:lang w:val="fr-FR" w:eastAsia="en-US"/>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lang w:val="fr-FR" w:eastAsia="en-US"/>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lang w:val="fr-FR" w:eastAsia="en-US"/>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fr-FR" w:eastAsia="en-US"/>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lang w:val="fr-BE" w:eastAsia="fr-BE"/>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lang w:val="fr-BE" w:eastAsia="fr-BE"/>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fr-FR"/>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fr-FR"/>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lang w:val="en-US" w:eastAsia="ja-JP"/>
    </w:rPr>
  </w:style>
  <w:style w:type="character" w:customStyle="1" w:styleId="Heading1Char">
    <w:name w:val="Heading 1 Char"/>
    <w:link w:val="Heading1"/>
    <w:uiPriority w:val="9"/>
    <w:rsid w:val="00006AAF"/>
    <w:rPr>
      <w:rFonts w:ascii="Tahoma" w:hAnsi="Tahoma" w:cs="Arial"/>
      <w:b/>
      <w:bCs/>
      <w:kern w:val="32"/>
      <w:sz w:val="24"/>
      <w:szCs w:val="32"/>
      <w:lang w:val="en-GB" w:eastAsia="fr-FR"/>
    </w:rPr>
  </w:style>
  <w:style w:type="paragraph" w:customStyle="1" w:styleId="Default">
    <w:name w:val="Default"/>
    <w:rsid w:val="008645CC"/>
    <w:pPr>
      <w:autoSpaceDE w:val="0"/>
      <w:autoSpaceDN w:val="0"/>
      <w:adjustRightInd w:val="0"/>
    </w:pPr>
    <w:rPr>
      <w:rFonts w:ascii="Arial" w:hAnsi="Arial" w:cs="Arial"/>
      <w:color w:val="000000"/>
      <w:sz w:val="24"/>
      <w:szCs w:val="24"/>
      <w:lang w:val="fr-BE" w:eastAsia="fr-BE"/>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fr-FR"/>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fr-FR"/>
    </w:rPr>
  </w:style>
  <w:style w:type="paragraph" w:styleId="Title">
    <w:name w:val="Title"/>
    <w:basedOn w:val="Normal"/>
    <w:link w:val="TitleChar"/>
    <w:qFormat/>
    <w:rsid w:val="005C03F3"/>
    <w:pPr>
      <w:jc w:val="center"/>
    </w:pPr>
    <w:rPr>
      <w:rFonts w:ascii="Antique Olive" w:hAnsi="Antique Olive"/>
      <w:b/>
      <w:bCs/>
      <w:sz w:val="28"/>
      <w:szCs w:val="28"/>
      <w:u w:val="single"/>
      <w:lang w:val="fr-BE"/>
    </w:rPr>
  </w:style>
  <w:style w:type="character" w:customStyle="1" w:styleId="TitleChar">
    <w:name w:val="Title Char"/>
    <w:link w:val="Title"/>
    <w:rsid w:val="005C03F3"/>
    <w:rPr>
      <w:rFonts w:ascii="Antique Olive" w:hAnsi="Antique Olive"/>
      <w:b/>
      <w:bCs/>
      <w:sz w:val="28"/>
      <w:szCs w:val="28"/>
      <w:u w:val="single"/>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348">
      <w:bodyDiv w:val="1"/>
      <w:marLeft w:val="0"/>
      <w:marRight w:val="0"/>
      <w:marTop w:val="0"/>
      <w:marBottom w:val="0"/>
      <w:divBdr>
        <w:top w:val="none" w:sz="0" w:space="0" w:color="auto"/>
        <w:left w:val="none" w:sz="0" w:space="0" w:color="auto"/>
        <w:bottom w:val="none" w:sz="0" w:space="0" w:color="auto"/>
        <w:right w:val="none" w:sz="0" w:space="0" w:color="auto"/>
      </w:divBdr>
    </w:div>
    <w:div w:id="404449830">
      <w:bodyDiv w:val="1"/>
      <w:marLeft w:val="0"/>
      <w:marRight w:val="0"/>
      <w:marTop w:val="0"/>
      <w:marBottom w:val="0"/>
      <w:divBdr>
        <w:top w:val="none" w:sz="0" w:space="0" w:color="auto"/>
        <w:left w:val="none" w:sz="0" w:space="0" w:color="auto"/>
        <w:bottom w:val="none" w:sz="0" w:space="0" w:color="auto"/>
        <w:right w:val="none" w:sz="0" w:space="0" w:color="auto"/>
      </w:divBdr>
    </w:div>
    <w:div w:id="447243958">
      <w:bodyDiv w:val="1"/>
      <w:marLeft w:val="0"/>
      <w:marRight w:val="0"/>
      <w:marTop w:val="0"/>
      <w:marBottom w:val="0"/>
      <w:divBdr>
        <w:top w:val="none" w:sz="0" w:space="0" w:color="auto"/>
        <w:left w:val="none" w:sz="0" w:space="0" w:color="auto"/>
        <w:bottom w:val="none" w:sz="0" w:space="0" w:color="auto"/>
        <w:right w:val="none" w:sz="0" w:space="0" w:color="auto"/>
      </w:divBdr>
    </w:div>
    <w:div w:id="670255942">
      <w:bodyDiv w:val="1"/>
      <w:marLeft w:val="0"/>
      <w:marRight w:val="0"/>
      <w:marTop w:val="0"/>
      <w:marBottom w:val="0"/>
      <w:divBdr>
        <w:top w:val="none" w:sz="0" w:space="0" w:color="auto"/>
        <w:left w:val="none" w:sz="0" w:space="0" w:color="auto"/>
        <w:bottom w:val="none" w:sz="0" w:space="0" w:color="auto"/>
        <w:right w:val="none" w:sz="0" w:space="0" w:color="auto"/>
      </w:divBdr>
    </w:div>
    <w:div w:id="742525200">
      <w:bodyDiv w:val="1"/>
      <w:marLeft w:val="0"/>
      <w:marRight w:val="0"/>
      <w:marTop w:val="0"/>
      <w:marBottom w:val="0"/>
      <w:divBdr>
        <w:top w:val="none" w:sz="0" w:space="0" w:color="auto"/>
        <w:left w:val="none" w:sz="0" w:space="0" w:color="auto"/>
        <w:bottom w:val="none" w:sz="0" w:space="0" w:color="auto"/>
        <w:right w:val="none" w:sz="0" w:space="0" w:color="auto"/>
      </w:divBdr>
    </w:div>
    <w:div w:id="847334049">
      <w:bodyDiv w:val="1"/>
      <w:marLeft w:val="0"/>
      <w:marRight w:val="0"/>
      <w:marTop w:val="0"/>
      <w:marBottom w:val="0"/>
      <w:divBdr>
        <w:top w:val="none" w:sz="0" w:space="0" w:color="auto"/>
        <w:left w:val="none" w:sz="0" w:space="0" w:color="auto"/>
        <w:bottom w:val="none" w:sz="0" w:space="0" w:color="auto"/>
        <w:right w:val="none" w:sz="0" w:space="0" w:color="auto"/>
      </w:divBdr>
    </w:div>
    <w:div w:id="1036663590">
      <w:bodyDiv w:val="1"/>
      <w:marLeft w:val="0"/>
      <w:marRight w:val="0"/>
      <w:marTop w:val="0"/>
      <w:marBottom w:val="0"/>
      <w:divBdr>
        <w:top w:val="none" w:sz="0" w:space="0" w:color="auto"/>
        <w:left w:val="none" w:sz="0" w:space="0" w:color="auto"/>
        <w:bottom w:val="none" w:sz="0" w:space="0" w:color="auto"/>
        <w:right w:val="none" w:sz="0" w:space="0" w:color="auto"/>
      </w:divBdr>
      <w:divsChild>
        <w:div w:id="390081541">
          <w:marLeft w:val="0"/>
          <w:marRight w:val="0"/>
          <w:marTop w:val="0"/>
          <w:marBottom w:val="0"/>
          <w:divBdr>
            <w:top w:val="none" w:sz="0" w:space="0" w:color="auto"/>
            <w:left w:val="none" w:sz="0" w:space="0" w:color="auto"/>
            <w:bottom w:val="none" w:sz="0" w:space="0" w:color="auto"/>
            <w:right w:val="none" w:sz="0" w:space="0" w:color="auto"/>
          </w:divBdr>
        </w:div>
        <w:div w:id="530193164">
          <w:marLeft w:val="0"/>
          <w:marRight w:val="0"/>
          <w:marTop w:val="0"/>
          <w:marBottom w:val="0"/>
          <w:divBdr>
            <w:top w:val="none" w:sz="0" w:space="0" w:color="auto"/>
            <w:left w:val="none" w:sz="0" w:space="0" w:color="auto"/>
            <w:bottom w:val="none" w:sz="0" w:space="0" w:color="auto"/>
            <w:right w:val="none" w:sz="0" w:space="0" w:color="auto"/>
          </w:divBdr>
        </w:div>
        <w:div w:id="1130592365">
          <w:marLeft w:val="0"/>
          <w:marRight w:val="0"/>
          <w:marTop w:val="0"/>
          <w:marBottom w:val="0"/>
          <w:divBdr>
            <w:top w:val="none" w:sz="0" w:space="0" w:color="auto"/>
            <w:left w:val="none" w:sz="0" w:space="0" w:color="auto"/>
            <w:bottom w:val="none" w:sz="0" w:space="0" w:color="auto"/>
            <w:right w:val="none" w:sz="0" w:space="0" w:color="auto"/>
          </w:divBdr>
        </w:div>
      </w:divsChild>
    </w:div>
    <w:div w:id="1117067527">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325088458">
      <w:bodyDiv w:val="1"/>
      <w:marLeft w:val="0"/>
      <w:marRight w:val="0"/>
      <w:marTop w:val="0"/>
      <w:marBottom w:val="0"/>
      <w:divBdr>
        <w:top w:val="none" w:sz="0" w:space="0" w:color="auto"/>
        <w:left w:val="none" w:sz="0" w:space="0" w:color="auto"/>
        <w:bottom w:val="none" w:sz="0" w:space="0" w:color="auto"/>
        <w:right w:val="none" w:sz="0" w:space="0" w:color="auto"/>
      </w:divBdr>
    </w:div>
    <w:div w:id="1459303521">
      <w:bodyDiv w:val="1"/>
      <w:marLeft w:val="0"/>
      <w:marRight w:val="0"/>
      <w:marTop w:val="0"/>
      <w:marBottom w:val="0"/>
      <w:divBdr>
        <w:top w:val="none" w:sz="0" w:space="0" w:color="auto"/>
        <w:left w:val="none" w:sz="0" w:space="0" w:color="auto"/>
        <w:bottom w:val="none" w:sz="0" w:space="0" w:color="auto"/>
        <w:right w:val="none" w:sz="0" w:space="0" w:color="auto"/>
      </w:divBdr>
      <w:divsChild>
        <w:div w:id="1351371196">
          <w:marLeft w:val="0"/>
          <w:marRight w:val="0"/>
          <w:marTop w:val="0"/>
          <w:marBottom w:val="0"/>
          <w:divBdr>
            <w:top w:val="none" w:sz="0" w:space="0" w:color="auto"/>
            <w:left w:val="none" w:sz="0" w:space="0" w:color="auto"/>
            <w:bottom w:val="none" w:sz="0" w:space="0" w:color="auto"/>
            <w:right w:val="none" w:sz="0" w:space="0" w:color="auto"/>
          </w:divBdr>
        </w:div>
        <w:div w:id="1385178050">
          <w:marLeft w:val="0"/>
          <w:marRight w:val="0"/>
          <w:marTop w:val="0"/>
          <w:marBottom w:val="0"/>
          <w:divBdr>
            <w:top w:val="none" w:sz="0" w:space="0" w:color="auto"/>
            <w:left w:val="none" w:sz="0" w:space="0" w:color="auto"/>
            <w:bottom w:val="none" w:sz="0" w:space="0" w:color="auto"/>
            <w:right w:val="none" w:sz="0" w:space="0" w:color="auto"/>
          </w:divBdr>
        </w:div>
        <w:div w:id="1950434771">
          <w:marLeft w:val="0"/>
          <w:marRight w:val="0"/>
          <w:marTop w:val="0"/>
          <w:marBottom w:val="0"/>
          <w:divBdr>
            <w:top w:val="none" w:sz="0" w:space="0" w:color="auto"/>
            <w:left w:val="none" w:sz="0" w:space="0" w:color="auto"/>
            <w:bottom w:val="none" w:sz="0" w:space="0" w:color="auto"/>
            <w:right w:val="none" w:sz="0" w:space="0" w:color="auto"/>
          </w:divBdr>
        </w:div>
      </w:divsChild>
    </w:div>
    <w:div w:id="1589384768">
      <w:bodyDiv w:val="1"/>
      <w:marLeft w:val="0"/>
      <w:marRight w:val="0"/>
      <w:marTop w:val="0"/>
      <w:marBottom w:val="0"/>
      <w:divBdr>
        <w:top w:val="none" w:sz="0" w:space="0" w:color="auto"/>
        <w:left w:val="none" w:sz="0" w:space="0" w:color="auto"/>
        <w:bottom w:val="none" w:sz="0" w:space="0" w:color="auto"/>
        <w:right w:val="none" w:sz="0" w:space="0" w:color="auto"/>
      </w:divBdr>
    </w:div>
    <w:div w:id="1634485684">
      <w:bodyDiv w:val="1"/>
      <w:marLeft w:val="0"/>
      <w:marRight w:val="0"/>
      <w:marTop w:val="0"/>
      <w:marBottom w:val="0"/>
      <w:divBdr>
        <w:top w:val="none" w:sz="0" w:space="0" w:color="auto"/>
        <w:left w:val="none" w:sz="0" w:space="0" w:color="auto"/>
        <w:bottom w:val="none" w:sz="0" w:space="0" w:color="auto"/>
        <w:right w:val="none" w:sz="0" w:space="0" w:color="auto"/>
      </w:divBdr>
    </w:div>
    <w:div w:id="1751847561">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88950696">
      <w:bodyDiv w:val="1"/>
      <w:marLeft w:val="0"/>
      <w:marRight w:val="0"/>
      <w:marTop w:val="0"/>
      <w:marBottom w:val="0"/>
      <w:divBdr>
        <w:top w:val="none" w:sz="0" w:space="0" w:color="auto"/>
        <w:left w:val="none" w:sz="0" w:space="0" w:color="auto"/>
        <w:bottom w:val="none" w:sz="0" w:space="0" w:color="auto"/>
        <w:right w:val="none" w:sz="0" w:space="0" w:color="auto"/>
      </w:divBdr>
    </w:div>
    <w:div w:id="2061711366">
      <w:bodyDiv w:val="1"/>
      <w:marLeft w:val="75"/>
      <w:marRight w:val="0"/>
      <w:marTop w:val="0"/>
      <w:marBottom w:val="0"/>
      <w:divBdr>
        <w:top w:val="none" w:sz="0" w:space="0" w:color="auto"/>
        <w:left w:val="none" w:sz="0" w:space="0" w:color="auto"/>
        <w:bottom w:val="none" w:sz="0" w:space="0" w:color="auto"/>
        <w:right w:val="none" w:sz="0" w:space="0" w:color="auto"/>
      </w:divBdr>
      <w:divsChild>
        <w:div w:id="479882384">
          <w:marLeft w:val="0"/>
          <w:marRight w:val="0"/>
          <w:marTop w:val="0"/>
          <w:marBottom w:val="0"/>
          <w:divBdr>
            <w:top w:val="none" w:sz="0" w:space="0" w:color="auto"/>
            <w:left w:val="none" w:sz="0" w:space="0" w:color="auto"/>
            <w:bottom w:val="none" w:sz="0" w:space="0" w:color="auto"/>
            <w:right w:val="none" w:sz="0" w:space="0" w:color="auto"/>
          </w:divBdr>
        </w:div>
        <w:div w:id="784815775">
          <w:marLeft w:val="0"/>
          <w:marRight w:val="0"/>
          <w:marTop w:val="0"/>
          <w:marBottom w:val="0"/>
          <w:divBdr>
            <w:top w:val="none" w:sz="0" w:space="0" w:color="auto"/>
            <w:left w:val="none" w:sz="0" w:space="0" w:color="auto"/>
            <w:bottom w:val="none" w:sz="0" w:space="0" w:color="auto"/>
            <w:right w:val="none" w:sz="0" w:space="0" w:color="auto"/>
          </w:divBdr>
        </w:div>
        <w:div w:id="1080326056">
          <w:marLeft w:val="0"/>
          <w:marRight w:val="0"/>
          <w:marTop w:val="0"/>
          <w:marBottom w:val="0"/>
          <w:divBdr>
            <w:top w:val="none" w:sz="0" w:space="0" w:color="auto"/>
            <w:left w:val="none" w:sz="0" w:space="0" w:color="auto"/>
            <w:bottom w:val="none" w:sz="0" w:space="0" w:color="auto"/>
            <w:right w:val="none" w:sz="0" w:space="0" w:color="auto"/>
          </w:divBdr>
        </w:div>
        <w:div w:id="183772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b@ebb-eu.org" TargetMode="External"/><Relationship Id="rId18" Type="http://schemas.openxmlformats.org/officeDocument/2006/relationships/image" Target="media/image5.emf"/><Relationship Id="rId26" Type="http://schemas.openxmlformats.org/officeDocument/2006/relationships/hyperlink" Target="http://www.icrt-idtf.com/en/index.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fisc.eu"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efisc.e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starch.eu/" TargetMode="External"/><Relationship Id="rId19" Type="http://schemas.openxmlformats.org/officeDocument/2006/relationships/hyperlink" Target="http://www.hse.gov.uk/foi/internalops/hid_circs/enforcement/spc_enf_137/index.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C:\Documents%20and%20Settings\PB\Local%20Settings\Temp\www.ebb-eu.org"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fisc.eu/data/14168338154.%20Sector%20ref%20doc%20on%20oilseed%20crushing%20and%20veg%20oil%20refining%20version%203.1.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b\AppData\Roaming\Microsoft\Templates\LET%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E157-8786-418B-A156-C6E87F33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 EN.dot</Template>
  <TotalTime>93</TotalTime>
  <Pages>29</Pages>
  <Words>5927</Words>
  <Characters>33790</Characters>
  <Application>Microsoft Office Word</Application>
  <DocSecurity>0</DocSecurity>
  <Lines>281</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EBB</vt:lpstr>
      <vt:lpstr>EBB</vt:lpstr>
    </vt:vector>
  </TitlesOfParts>
  <Company>Microsoft</Company>
  <LinksUpToDate>false</LinksUpToDate>
  <CharactersWithSpaces>39638</CharactersWithSpaces>
  <SharedDoc>false</SharedDoc>
  <HLinks>
    <vt:vector size="186" baseType="variant">
      <vt:variant>
        <vt:i4>1441887</vt:i4>
      </vt:variant>
      <vt:variant>
        <vt:i4>141</vt:i4>
      </vt:variant>
      <vt:variant>
        <vt:i4>0</vt:i4>
      </vt:variant>
      <vt:variant>
        <vt:i4>5</vt:i4>
      </vt:variant>
      <vt:variant>
        <vt:lpwstr>http://www.icrt-idtf.com/en/index.php</vt:lpwstr>
      </vt:variant>
      <vt:variant>
        <vt:lpwstr/>
      </vt:variant>
      <vt:variant>
        <vt:i4>1441887</vt:i4>
      </vt:variant>
      <vt:variant>
        <vt:i4>138</vt:i4>
      </vt:variant>
      <vt:variant>
        <vt:i4>0</vt:i4>
      </vt:variant>
      <vt:variant>
        <vt:i4>5</vt:i4>
      </vt:variant>
      <vt:variant>
        <vt:lpwstr>http://www.icrt-idtf.com/en/index.php</vt:lpwstr>
      </vt:variant>
      <vt:variant>
        <vt:lpwstr/>
      </vt:variant>
      <vt:variant>
        <vt:i4>8126543</vt:i4>
      </vt:variant>
      <vt:variant>
        <vt:i4>135</vt:i4>
      </vt:variant>
      <vt:variant>
        <vt:i4>0</vt:i4>
      </vt:variant>
      <vt:variant>
        <vt:i4>5</vt:i4>
      </vt:variant>
      <vt:variant>
        <vt:lpwstr>http://www.hse.gov.uk/foi/internalops/hid_circs/enforcement/spc_enf_137/index.htm</vt:lpwstr>
      </vt:variant>
      <vt:variant>
        <vt:lpwstr>appendix1</vt:lpwstr>
      </vt:variant>
      <vt:variant>
        <vt:i4>1310773</vt:i4>
      </vt:variant>
      <vt:variant>
        <vt:i4>128</vt:i4>
      </vt:variant>
      <vt:variant>
        <vt:i4>0</vt:i4>
      </vt:variant>
      <vt:variant>
        <vt:i4>5</vt:i4>
      </vt:variant>
      <vt:variant>
        <vt:lpwstr/>
      </vt:variant>
      <vt:variant>
        <vt:lpwstr>_Toc350504677</vt:lpwstr>
      </vt:variant>
      <vt:variant>
        <vt:i4>1376309</vt:i4>
      </vt:variant>
      <vt:variant>
        <vt:i4>122</vt:i4>
      </vt:variant>
      <vt:variant>
        <vt:i4>0</vt:i4>
      </vt:variant>
      <vt:variant>
        <vt:i4>5</vt:i4>
      </vt:variant>
      <vt:variant>
        <vt:lpwstr/>
      </vt:variant>
      <vt:variant>
        <vt:lpwstr>_Toc350504668</vt:lpwstr>
      </vt:variant>
      <vt:variant>
        <vt:i4>1376309</vt:i4>
      </vt:variant>
      <vt:variant>
        <vt:i4>116</vt:i4>
      </vt:variant>
      <vt:variant>
        <vt:i4>0</vt:i4>
      </vt:variant>
      <vt:variant>
        <vt:i4>5</vt:i4>
      </vt:variant>
      <vt:variant>
        <vt:lpwstr/>
      </vt:variant>
      <vt:variant>
        <vt:lpwstr>_Toc350504667</vt:lpwstr>
      </vt:variant>
      <vt:variant>
        <vt:i4>1376309</vt:i4>
      </vt:variant>
      <vt:variant>
        <vt:i4>110</vt:i4>
      </vt:variant>
      <vt:variant>
        <vt:i4>0</vt:i4>
      </vt:variant>
      <vt:variant>
        <vt:i4>5</vt:i4>
      </vt:variant>
      <vt:variant>
        <vt:lpwstr/>
      </vt:variant>
      <vt:variant>
        <vt:lpwstr>_Toc350504666</vt:lpwstr>
      </vt:variant>
      <vt:variant>
        <vt:i4>1376309</vt:i4>
      </vt:variant>
      <vt:variant>
        <vt:i4>104</vt:i4>
      </vt:variant>
      <vt:variant>
        <vt:i4>0</vt:i4>
      </vt:variant>
      <vt:variant>
        <vt:i4>5</vt:i4>
      </vt:variant>
      <vt:variant>
        <vt:lpwstr/>
      </vt:variant>
      <vt:variant>
        <vt:lpwstr>_Toc350504665</vt:lpwstr>
      </vt:variant>
      <vt:variant>
        <vt:i4>1376309</vt:i4>
      </vt:variant>
      <vt:variant>
        <vt:i4>98</vt:i4>
      </vt:variant>
      <vt:variant>
        <vt:i4>0</vt:i4>
      </vt:variant>
      <vt:variant>
        <vt:i4>5</vt:i4>
      </vt:variant>
      <vt:variant>
        <vt:lpwstr/>
      </vt:variant>
      <vt:variant>
        <vt:lpwstr>_Toc350504664</vt:lpwstr>
      </vt:variant>
      <vt:variant>
        <vt:i4>1376309</vt:i4>
      </vt:variant>
      <vt:variant>
        <vt:i4>92</vt:i4>
      </vt:variant>
      <vt:variant>
        <vt:i4>0</vt:i4>
      </vt:variant>
      <vt:variant>
        <vt:i4>5</vt:i4>
      </vt:variant>
      <vt:variant>
        <vt:lpwstr/>
      </vt:variant>
      <vt:variant>
        <vt:lpwstr>_Toc350504663</vt:lpwstr>
      </vt:variant>
      <vt:variant>
        <vt:i4>1376309</vt:i4>
      </vt:variant>
      <vt:variant>
        <vt:i4>86</vt:i4>
      </vt:variant>
      <vt:variant>
        <vt:i4>0</vt:i4>
      </vt:variant>
      <vt:variant>
        <vt:i4>5</vt:i4>
      </vt:variant>
      <vt:variant>
        <vt:lpwstr/>
      </vt:variant>
      <vt:variant>
        <vt:lpwstr>_Toc350504662</vt:lpwstr>
      </vt:variant>
      <vt:variant>
        <vt:i4>1376309</vt:i4>
      </vt:variant>
      <vt:variant>
        <vt:i4>80</vt:i4>
      </vt:variant>
      <vt:variant>
        <vt:i4>0</vt:i4>
      </vt:variant>
      <vt:variant>
        <vt:i4>5</vt:i4>
      </vt:variant>
      <vt:variant>
        <vt:lpwstr/>
      </vt:variant>
      <vt:variant>
        <vt:lpwstr>_Toc350504661</vt:lpwstr>
      </vt:variant>
      <vt:variant>
        <vt:i4>1376309</vt:i4>
      </vt:variant>
      <vt:variant>
        <vt:i4>74</vt:i4>
      </vt:variant>
      <vt:variant>
        <vt:i4>0</vt:i4>
      </vt:variant>
      <vt:variant>
        <vt:i4>5</vt:i4>
      </vt:variant>
      <vt:variant>
        <vt:lpwstr/>
      </vt:variant>
      <vt:variant>
        <vt:lpwstr>_Toc350504660</vt:lpwstr>
      </vt:variant>
      <vt:variant>
        <vt:i4>1441845</vt:i4>
      </vt:variant>
      <vt:variant>
        <vt:i4>68</vt:i4>
      </vt:variant>
      <vt:variant>
        <vt:i4>0</vt:i4>
      </vt:variant>
      <vt:variant>
        <vt:i4>5</vt:i4>
      </vt:variant>
      <vt:variant>
        <vt:lpwstr/>
      </vt:variant>
      <vt:variant>
        <vt:lpwstr>_Toc350504659</vt:lpwstr>
      </vt:variant>
      <vt:variant>
        <vt:i4>1441845</vt:i4>
      </vt:variant>
      <vt:variant>
        <vt:i4>62</vt:i4>
      </vt:variant>
      <vt:variant>
        <vt:i4>0</vt:i4>
      </vt:variant>
      <vt:variant>
        <vt:i4>5</vt:i4>
      </vt:variant>
      <vt:variant>
        <vt:lpwstr/>
      </vt:variant>
      <vt:variant>
        <vt:lpwstr>_Toc350504658</vt:lpwstr>
      </vt:variant>
      <vt:variant>
        <vt:i4>1441845</vt:i4>
      </vt:variant>
      <vt:variant>
        <vt:i4>56</vt:i4>
      </vt:variant>
      <vt:variant>
        <vt:i4>0</vt:i4>
      </vt:variant>
      <vt:variant>
        <vt:i4>5</vt:i4>
      </vt:variant>
      <vt:variant>
        <vt:lpwstr/>
      </vt:variant>
      <vt:variant>
        <vt:lpwstr>_Toc350504657</vt:lpwstr>
      </vt:variant>
      <vt:variant>
        <vt:i4>1441845</vt:i4>
      </vt:variant>
      <vt:variant>
        <vt:i4>50</vt:i4>
      </vt:variant>
      <vt:variant>
        <vt:i4>0</vt:i4>
      </vt:variant>
      <vt:variant>
        <vt:i4>5</vt:i4>
      </vt:variant>
      <vt:variant>
        <vt:lpwstr/>
      </vt:variant>
      <vt:variant>
        <vt:lpwstr>_Toc350504656</vt:lpwstr>
      </vt:variant>
      <vt:variant>
        <vt:i4>1441845</vt:i4>
      </vt:variant>
      <vt:variant>
        <vt:i4>44</vt:i4>
      </vt:variant>
      <vt:variant>
        <vt:i4>0</vt:i4>
      </vt:variant>
      <vt:variant>
        <vt:i4>5</vt:i4>
      </vt:variant>
      <vt:variant>
        <vt:lpwstr/>
      </vt:variant>
      <vt:variant>
        <vt:lpwstr>_Toc350504655</vt:lpwstr>
      </vt:variant>
      <vt:variant>
        <vt:i4>1441845</vt:i4>
      </vt:variant>
      <vt:variant>
        <vt:i4>38</vt:i4>
      </vt:variant>
      <vt:variant>
        <vt:i4>0</vt:i4>
      </vt:variant>
      <vt:variant>
        <vt:i4>5</vt:i4>
      </vt:variant>
      <vt:variant>
        <vt:lpwstr/>
      </vt:variant>
      <vt:variant>
        <vt:lpwstr>_Toc350504654</vt:lpwstr>
      </vt:variant>
      <vt:variant>
        <vt:i4>1441845</vt:i4>
      </vt:variant>
      <vt:variant>
        <vt:i4>32</vt:i4>
      </vt:variant>
      <vt:variant>
        <vt:i4>0</vt:i4>
      </vt:variant>
      <vt:variant>
        <vt:i4>5</vt:i4>
      </vt:variant>
      <vt:variant>
        <vt:lpwstr/>
      </vt:variant>
      <vt:variant>
        <vt:lpwstr>_Toc350504653</vt:lpwstr>
      </vt:variant>
      <vt:variant>
        <vt:i4>1441845</vt:i4>
      </vt:variant>
      <vt:variant>
        <vt:i4>26</vt:i4>
      </vt:variant>
      <vt:variant>
        <vt:i4>0</vt:i4>
      </vt:variant>
      <vt:variant>
        <vt:i4>5</vt:i4>
      </vt:variant>
      <vt:variant>
        <vt:lpwstr/>
      </vt:variant>
      <vt:variant>
        <vt:lpwstr>_Toc350504652</vt:lpwstr>
      </vt:variant>
      <vt:variant>
        <vt:i4>917534</vt:i4>
      </vt:variant>
      <vt:variant>
        <vt:i4>21</vt:i4>
      </vt:variant>
      <vt:variant>
        <vt:i4>0</vt:i4>
      </vt:variant>
      <vt:variant>
        <vt:i4>5</vt:i4>
      </vt:variant>
      <vt:variant>
        <vt:lpwstr>http://www.efisc.eu/</vt:lpwstr>
      </vt:variant>
      <vt:variant>
        <vt:lpwstr/>
      </vt:variant>
      <vt:variant>
        <vt:i4>6488129</vt:i4>
      </vt:variant>
      <vt:variant>
        <vt:i4>18</vt:i4>
      </vt:variant>
      <vt:variant>
        <vt:i4>0</vt:i4>
      </vt:variant>
      <vt:variant>
        <vt:i4>5</vt:i4>
      </vt:variant>
      <vt:variant>
        <vt:lpwstr>mailto:info@efisc.eu</vt:lpwstr>
      </vt:variant>
      <vt:variant>
        <vt:lpwstr/>
      </vt:variant>
      <vt:variant>
        <vt:i4>4194329</vt:i4>
      </vt:variant>
      <vt:variant>
        <vt:i4>15</vt:i4>
      </vt:variant>
      <vt:variant>
        <vt:i4>0</vt:i4>
      </vt:variant>
      <vt:variant>
        <vt:i4>5</vt:i4>
      </vt:variant>
      <vt:variant>
        <vt:lpwstr>../Local Settings/Temp/www.ebb-eu.org</vt:lpwstr>
      </vt:variant>
      <vt:variant>
        <vt:lpwstr/>
      </vt:variant>
      <vt:variant>
        <vt:i4>5963837</vt:i4>
      </vt:variant>
      <vt:variant>
        <vt:i4>12</vt:i4>
      </vt:variant>
      <vt:variant>
        <vt:i4>0</vt:i4>
      </vt:variant>
      <vt:variant>
        <vt:i4>5</vt:i4>
      </vt:variant>
      <vt:variant>
        <vt:lpwstr>mailto:ebb@ebb-eu.org</vt:lpwstr>
      </vt:variant>
      <vt:variant>
        <vt:lpwstr/>
      </vt:variant>
      <vt:variant>
        <vt:i4>3801186</vt:i4>
      </vt:variant>
      <vt:variant>
        <vt:i4>6</vt:i4>
      </vt:variant>
      <vt:variant>
        <vt:i4>0</vt:i4>
      </vt:variant>
      <vt:variant>
        <vt:i4>5</vt:i4>
      </vt:variant>
      <vt:variant>
        <vt:lpwstr>http://www.ebb-eu.org/</vt:lpwstr>
      </vt:variant>
      <vt:variant>
        <vt:lpwstr/>
      </vt:variant>
      <vt:variant>
        <vt:i4>1900629</vt:i4>
      </vt:variant>
      <vt:variant>
        <vt:i4>3</vt:i4>
      </vt:variant>
      <vt:variant>
        <vt:i4>0</vt:i4>
      </vt:variant>
      <vt:variant>
        <vt:i4>5</vt:i4>
      </vt:variant>
      <vt:variant>
        <vt:lpwstr>http://www.fediol.eu/</vt:lpwstr>
      </vt:variant>
      <vt:variant>
        <vt:lpwstr/>
      </vt:variant>
      <vt:variant>
        <vt:i4>3801185</vt:i4>
      </vt:variant>
      <vt:variant>
        <vt:i4>0</vt:i4>
      </vt:variant>
      <vt:variant>
        <vt:i4>0</vt:i4>
      </vt:variant>
      <vt:variant>
        <vt:i4>5</vt:i4>
      </vt:variant>
      <vt:variant>
        <vt:lpwstr>http://www.aaf-eu.org/</vt:lpwstr>
      </vt:variant>
      <vt:variant>
        <vt:lpwstr/>
      </vt:variant>
      <vt:variant>
        <vt:i4>393268</vt:i4>
      </vt:variant>
      <vt:variant>
        <vt:i4>0</vt:i4>
      </vt:variant>
      <vt:variant>
        <vt:i4>0</vt:i4>
      </vt:variant>
      <vt:variant>
        <vt:i4>5</vt:i4>
      </vt:variant>
      <vt:variant>
        <vt:lpwstr>http://www.efisc.eu/data/1342020514Sector document oilseed and proteinmeal industry_version-2-2-1_16-02-11 update hyperlinks 9_7.pdf</vt:lpwstr>
      </vt:variant>
      <vt:variant>
        <vt:lpwstr/>
      </vt:variant>
      <vt:variant>
        <vt:i4>7667816</vt:i4>
      </vt:variant>
      <vt:variant>
        <vt:i4>3</vt:i4>
      </vt:variant>
      <vt:variant>
        <vt:i4>0</vt:i4>
      </vt:variant>
      <vt:variant>
        <vt:i4>5</vt:i4>
      </vt:variant>
      <vt:variant>
        <vt:lpwstr/>
      </vt:variant>
      <vt:variant>
        <vt:lpwstr>Content</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EBB</dc:title>
  <dc:creator>ebb</dc:creator>
  <cp:lastModifiedBy>PINILLOS BARTOLOME Elena (DGT)</cp:lastModifiedBy>
  <cp:revision>12</cp:revision>
  <cp:lastPrinted>2014-12-15T16:02:00Z</cp:lastPrinted>
  <dcterms:created xsi:type="dcterms:W3CDTF">2015-12-11T10:21:00Z</dcterms:created>
  <dcterms:modified xsi:type="dcterms:W3CDTF">2015-12-18T12:47:00Z</dcterms:modified>
</cp:coreProperties>
</file>