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3" w:rsidRPr="001D76FB" w:rsidRDefault="00660F29" w:rsidP="00660F29">
      <w:pPr>
        <w:pStyle w:val="BodyText3"/>
        <w:jc w:val="right"/>
        <w:rPr>
          <w:rFonts w:ascii="Verdana" w:hAnsi="Verdana"/>
          <w:sz w:val="28"/>
          <w:szCs w:val="28"/>
        </w:rPr>
      </w:pPr>
      <w:r>
        <w:rPr>
          <w:noProof/>
          <w:lang w:val="en-GB" w:eastAsia="en-GB" w:bidi="ar-SA"/>
        </w:rPr>
        <w:drawing>
          <wp:inline distT="0" distB="0" distL="0" distR="0">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120270" w:rsidRDefault="00120270" w:rsidP="00660F29">
      <w:pPr>
        <w:pStyle w:val="BodyText3"/>
        <w:rPr>
          <w:rFonts w:ascii="Verdana" w:hAnsi="Verdana"/>
          <w:color w:val="1F497D"/>
          <w:sz w:val="28"/>
          <w:szCs w:val="28"/>
        </w:rPr>
      </w:pPr>
      <w:r>
        <w:rPr>
          <w:rFonts w:ascii="Verdana" w:hAnsi="Verdana"/>
          <w:color w:val="1F497D"/>
          <w:sz w:val="28"/>
        </w:rPr>
        <w:t>Europski vodič za dobru praksu u industrijskoj proizvodnji sigurnih krmiva</w:t>
      </w:r>
    </w:p>
    <w:p w:rsidR="00120270" w:rsidRPr="005C03F3" w:rsidRDefault="00120270" w:rsidP="00660F29">
      <w:pPr>
        <w:rPr>
          <w:rFonts w:ascii="Verdana" w:hAnsi="Verdana" w:cs="Tahoma"/>
          <w:b/>
          <w:color w:val="4F81BD"/>
          <w:sz w:val="48"/>
          <w:szCs w:val="48"/>
        </w:rPr>
      </w:pPr>
      <w:r>
        <w:rPr>
          <w:rFonts w:ascii="Verdana" w:hAnsi="Verdana"/>
          <w:b/>
          <w:color w:val="4F81BD"/>
          <w:sz w:val="48"/>
        </w:rPr>
        <w:t xml:space="preserve">Sektorski referentni dokument o proizvodnji sigurnih krmiva </w:t>
      </w:r>
      <w:r w:rsidRPr="00413C64">
        <w:rPr>
          <w:rFonts w:ascii="Verdana" w:hAnsi="Verdana"/>
          <w:b/>
          <w:color w:val="4F81BD"/>
          <w:sz w:val="48"/>
        </w:rPr>
        <w:t>preradom</w:t>
      </w:r>
      <w:r>
        <w:rPr>
          <w:rFonts w:ascii="Verdana" w:hAnsi="Verdana"/>
          <w:b/>
          <w:color w:val="4F81BD"/>
          <w:sz w:val="48"/>
        </w:rPr>
        <w:t xml:space="preserve"> </w:t>
      </w:r>
      <w:proofErr w:type="spellStart"/>
      <w:r w:rsidR="00413C64">
        <w:rPr>
          <w:rFonts w:ascii="Verdana" w:hAnsi="Verdana"/>
          <w:b/>
          <w:color w:val="4F81BD"/>
          <w:sz w:val="48"/>
        </w:rPr>
        <w:t>biodizela</w:t>
      </w:r>
      <w:proofErr w:type="spellEnd"/>
    </w:p>
    <w:p w:rsidR="00120270" w:rsidRDefault="00120270" w:rsidP="00120270">
      <w:pPr>
        <w:jc w:val="both"/>
        <w:rPr>
          <w:rFonts w:ascii="Verdana" w:hAnsi="Verdana"/>
          <w:b/>
          <w:color w:val="1F497D"/>
          <w:sz w:val="28"/>
          <w:szCs w:val="28"/>
        </w:rPr>
      </w:pPr>
    </w:p>
    <w:p w:rsidR="00120270" w:rsidRPr="008053AF" w:rsidRDefault="00120270" w:rsidP="00120270">
      <w:pPr>
        <w:jc w:val="both"/>
        <w:rPr>
          <w:rFonts w:ascii="Verdana" w:hAnsi="Verdana"/>
          <w:b/>
          <w:color w:val="1F497D"/>
          <w:sz w:val="28"/>
          <w:szCs w:val="28"/>
        </w:rPr>
      </w:pPr>
      <w:r>
        <w:rPr>
          <w:rFonts w:ascii="Verdana" w:hAnsi="Verdana"/>
          <w:b/>
          <w:color w:val="1F497D"/>
          <w:sz w:val="28"/>
        </w:rPr>
        <w:t>Verzija 1.1.</w:t>
      </w:r>
    </w:p>
    <w:p w:rsidR="00120270" w:rsidRPr="008053AF" w:rsidRDefault="00120270" w:rsidP="00120270">
      <w:pPr>
        <w:jc w:val="both"/>
        <w:rPr>
          <w:rFonts w:ascii="Verdana" w:hAnsi="Verdana"/>
          <w:b/>
          <w:color w:val="1F497D"/>
          <w:sz w:val="28"/>
          <w:szCs w:val="28"/>
        </w:rPr>
      </w:pPr>
      <w:r>
        <w:rPr>
          <w:rFonts w:ascii="Verdana" w:hAnsi="Verdana"/>
          <w:b/>
          <w:color w:val="1F497D"/>
          <w:sz w:val="28"/>
        </w:rPr>
        <w:t>Stupa na snagu u studenome 2014.</w:t>
      </w:r>
    </w:p>
    <w:p w:rsidR="005C03F3" w:rsidRDefault="00660F29" w:rsidP="006558BC">
      <w:pPr>
        <w:rPr>
          <w:rFonts w:ascii="Verdana" w:hAnsi="Verdana"/>
          <w:b/>
          <w:color w:val="808080"/>
          <w:sz w:val="28"/>
          <w:szCs w:val="28"/>
        </w:rPr>
      </w:pPr>
      <w:r>
        <w:br w:type="page"/>
      </w:r>
      <w:r>
        <w:rPr>
          <w:rFonts w:ascii="Verdana" w:hAnsi="Verdana"/>
          <w:b/>
          <w:color w:val="808080"/>
          <w:sz w:val="28"/>
        </w:rPr>
        <w:lastRenderedPageBreak/>
        <w:t xml:space="preserve">Sektori obuhvaćeni </w:t>
      </w:r>
      <w:r w:rsidR="00413C64">
        <w:rPr>
          <w:rFonts w:ascii="Verdana" w:hAnsi="Verdana"/>
          <w:b/>
          <w:color w:val="808080"/>
          <w:sz w:val="28"/>
        </w:rPr>
        <w:t>e</w:t>
      </w:r>
      <w:r>
        <w:rPr>
          <w:rFonts w:ascii="Verdana" w:hAnsi="Verdana"/>
          <w:b/>
          <w:color w:val="808080"/>
          <w:sz w:val="28"/>
        </w:rPr>
        <w:t>uropskim vodičem</w:t>
      </w:r>
    </w:p>
    <w:p w:rsidR="0015798E" w:rsidRDefault="0015798E" w:rsidP="006558BC">
      <w:pPr>
        <w:rPr>
          <w:rFonts w:ascii="Verdana" w:hAnsi="Verdana"/>
          <w:b/>
          <w:color w:val="808080"/>
          <w:sz w:val="28"/>
          <w:szCs w:val="28"/>
        </w:rPr>
      </w:pPr>
    </w:p>
    <w:p w:rsidR="005C03F3"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 xml:space="preserve">Sljedeće su sektorske dokumente specifične za pojedine sektore sastavile odgovarajuće europske </w:t>
      </w:r>
      <w:r w:rsidR="00413C64">
        <w:rPr>
          <w:rFonts w:ascii="Verdana" w:hAnsi="Verdana"/>
        </w:rPr>
        <w:t xml:space="preserve">sektorske </w:t>
      </w:r>
      <w:r>
        <w:rPr>
          <w:rFonts w:ascii="Verdana" w:hAnsi="Verdana"/>
        </w:rPr>
        <w:t>organizacije u suradnji s organizacijom EFISC:</w:t>
      </w: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AD68DE" w:rsidRDefault="0002776D"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0">
        <w:proofErr w:type="spellStart"/>
        <w:r w:rsidR="00CC3C71">
          <w:rPr>
            <w:rStyle w:val="Hyperlink"/>
            <w:rFonts w:ascii="Verdana" w:hAnsi="Verdana"/>
          </w:rPr>
          <w:t>Starch</w:t>
        </w:r>
        <w:proofErr w:type="spellEnd"/>
        <w:r w:rsidR="00CC3C71">
          <w:rPr>
            <w:rStyle w:val="Hyperlink"/>
            <w:rFonts w:ascii="Verdana" w:hAnsi="Verdana"/>
          </w:rPr>
          <w:t xml:space="preserve"> Europe</w:t>
        </w:r>
      </w:hyperlink>
      <w:r w:rsidR="00CC3C71">
        <w:tab/>
      </w:r>
      <w:r w:rsidR="00413C64">
        <w:rPr>
          <w:rFonts w:ascii="Verdana" w:hAnsi="Verdana"/>
        </w:rPr>
        <w:t>s</w:t>
      </w:r>
      <w:r w:rsidR="00CC3C71">
        <w:rPr>
          <w:rFonts w:ascii="Verdana" w:hAnsi="Verdana"/>
        </w:rPr>
        <w:t>ektorski referentni dokument o proizvodnji sigurnih krmiva preradom škroba</w:t>
      </w:r>
    </w:p>
    <w:p w:rsidR="005C03F3" w:rsidRPr="00C00A60" w:rsidRDefault="0002776D"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rPr>
      </w:pPr>
      <w:hyperlink r:id="rId11">
        <w:r w:rsidR="00CC3C71">
          <w:rPr>
            <w:rStyle w:val="Hyperlink"/>
            <w:rFonts w:ascii="Verdana" w:hAnsi="Verdana"/>
          </w:rPr>
          <w:t>FEDIOL</w:t>
        </w:r>
      </w:hyperlink>
      <w:r w:rsidR="00CC3C71">
        <w:rPr>
          <w:rFonts w:ascii="Verdana" w:hAnsi="Verdana"/>
        </w:rPr>
        <w:t xml:space="preserve"> </w:t>
      </w:r>
      <w:r w:rsidR="00CC3C71">
        <w:tab/>
      </w:r>
      <w:r w:rsidR="00413C64">
        <w:rPr>
          <w:rFonts w:ascii="Verdana" w:hAnsi="Verdana"/>
        </w:rPr>
        <w:t>s</w:t>
      </w:r>
      <w:r w:rsidR="00CC3C71">
        <w:rPr>
          <w:rFonts w:ascii="Verdana" w:hAnsi="Verdana"/>
        </w:rPr>
        <w:t>ektorski referentni dokument o proizvodnji sigurnih krmiva drobljenjem zrnja uljarica i rafiniranjem biljnih ulja</w:t>
      </w:r>
    </w:p>
    <w:p w:rsidR="005C03F3" w:rsidRPr="005C03F3" w:rsidRDefault="0002776D"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2">
        <w:r w:rsidR="00CC3C71">
          <w:rPr>
            <w:rStyle w:val="Hyperlink"/>
            <w:rFonts w:ascii="Verdana" w:hAnsi="Verdana"/>
            <w:b/>
          </w:rPr>
          <w:t>EBB</w:t>
        </w:r>
      </w:hyperlink>
      <w:r w:rsidR="00CC3C71">
        <w:tab/>
      </w:r>
      <w:r w:rsidR="00413C64">
        <w:rPr>
          <w:rFonts w:ascii="Verdana" w:hAnsi="Verdana"/>
          <w:b/>
        </w:rPr>
        <w:t>s</w:t>
      </w:r>
      <w:r w:rsidR="00CC3C71">
        <w:rPr>
          <w:rFonts w:ascii="Verdana" w:hAnsi="Verdana"/>
          <w:b/>
        </w:rPr>
        <w:t>ektorski referentni dokument o proizvodnji sigurnih krmiva preradom</w:t>
      </w:r>
      <w:r w:rsidR="00413C64">
        <w:rPr>
          <w:rFonts w:ascii="Verdana" w:hAnsi="Verdana"/>
          <w:b/>
        </w:rPr>
        <w:t xml:space="preserve"> </w:t>
      </w:r>
      <w:proofErr w:type="spellStart"/>
      <w:r w:rsidR="00413C64">
        <w:rPr>
          <w:rFonts w:ascii="Verdana" w:hAnsi="Verdana"/>
          <w:b/>
        </w:rPr>
        <w:t>biodizela</w:t>
      </w:r>
      <w:proofErr w:type="spellEnd"/>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Ovome europskom vodiču mogu pridonijeti drugi proizvođači krmiva izradom dokumenta specifičnog za sektor.</w:t>
      </w:r>
    </w:p>
    <w:p w:rsidR="00120270" w:rsidRDefault="00120270" w:rsidP="005C03F3">
      <w:pPr>
        <w:rPr>
          <w:rFonts w:ascii="Verdana" w:hAnsi="Verdana"/>
          <w:b/>
          <w:color w:val="808080"/>
          <w:sz w:val="22"/>
          <w:szCs w:val="22"/>
        </w:rPr>
      </w:pPr>
    </w:p>
    <w:p w:rsidR="005C03F3" w:rsidRPr="009218C6" w:rsidRDefault="005C03F3" w:rsidP="005C03F3">
      <w:pPr>
        <w:rPr>
          <w:rFonts w:ascii="Verdana" w:hAnsi="Verdana"/>
          <w:b/>
          <w:color w:val="808080"/>
          <w:sz w:val="22"/>
          <w:szCs w:val="22"/>
        </w:rPr>
      </w:pPr>
      <w:r>
        <w:rPr>
          <w:rFonts w:ascii="Verdana" w:hAnsi="Verdana"/>
          <w:b/>
          <w:color w:val="808080"/>
          <w:sz w:val="22"/>
        </w:rPr>
        <w:t>Informacije o EBB-u</w:t>
      </w:r>
      <w:r>
        <w:t xml:space="preserve"> </w:t>
      </w:r>
    </w:p>
    <w:p w:rsidR="005C03F3" w:rsidRPr="009218C6" w:rsidRDefault="005C03F3" w:rsidP="005C03F3">
      <w:pPr>
        <w:rPr>
          <w:rFonts w:ascii="Verdana" w:hAnsi="Verdana"/>
          <w:b/>
          <w:color w:val="808080"/>
          <w:sz w:val="22"/>
          <w:szCs w:val="22"/>
        </w:rPr>
      </w:pPr>
    </w:p>
    <w:p w:rsidR="005C03F3" w:rsidRPr="009218C6" w:rsidRDefault="00C30589" w:rsidP="005C03F3">
      <w:pPr>
        <w:rPr>
          <w:rFonts w:ascii="Verdana" w:hAnsi="Verdana"/>
          <w:sz w:val="22"/>
          <w:szCs w:val="22"/>
        </w:rPr>
      </w:pPr>
      <w:r>
        <w:rPr>
          <w:rFonts w:ascii="Verdana" w:hAnsi="Verdana"/>
          <w:sz w:val="22"/>
        </w:rPr>
        <w:t>Podaci za k</w:t>
      </w:r>
      <w:r w:rsidR="005C03F3">
        <w:rPr>
          <w:rFonts w:ascii="Verdana" w:hAnsi="Verdana"/>
          <w:sz w:val="22"/>
        </w:rPr>
        <w:t>ontakt:</w:t>
      </w:r>
    </w:p>
    <w:p w:rsidR="005C03F3" w:rsidRPr="009218C6" w:rsidRDefault="005C03F3" w:rsidP="005C03F3">
      <w:pPr>
        <w:rPr>
          <w:rFonts w:ascii="Verdana" w:hAnsi="Verdana"/>
          <w:sz w:val="22"/>
          <w:szCs w:val="22"/>
        </w:rPr>
      </w:pPr>
    </w:p>
    <w:p w:rsidR="005C03F3" w:rsidRDefault="005C03F3" w:rsidP="005C03F3">
      <w:pPr>
        <w:rPr>
          <w:rFonts w:ascii="Verdana" w:hAnsi="Verdana"/>
          <w:bCs/>
          <w:color w:val="006633"/>
          <w:sz w:val="22"/>
          <w:szCs w:val="22"/>
        </w:rPr>
      </w:pPr>
      <w:r>
        <w:rPr>
          <w:rFonts w:ascii="Verdana" w:hAnsi="Verdana"/>
          <w:color w:val="006633"/>
          <w:sz w:val="22"/>
        </w:rPr>
        <w:t>Europski odbor za biodizel (EBB)</w:t>
      </w:r>
      <w:r>
        <w:tab/>
      </w:r>
      <w:r>
        <w:rPr>
          <w:rFonts w:ascii="Verdana" w:hAnsi="Verdana"/>
          <w:b/>
          <w:color w:val="006633"/>
          <w:sz w:val="32"/>
        </w:rPr>
        <w:t>EBB</w:t>
      </w:r>
      <w:r>
        <w:rPr>
          <w:rFonts w:ascii="Verdana" w:hAnsi="Verdana"/>
          <w:bCs/>
          <w:color w:val="006633"/>
          <w:sz w:val="22"/>
          <w:szCs w:val="22"/>
        </w:rPr>
        <w:br/>
      </w:r>
      <w:r>
        <w:rPr>
          <w:rFonts w:ascii="Verdana" w:hAnsi="Verdana"/>
          <w:color w:val="006633"/>
          <w:sz w:val="22"/>
        </w:rPr>
        <w:t xml:space="preserve">Boulevard Saint Michel 34 </w:t>
      </w:r>
      <w:r>
        <w:tab/>
      </w:r>
      <w:r>
        <w:tab/>
      </w:r>
      <w:r>
        <w:rPr>
          <w:rFonts w:ascii="Verdana" w:hAnsi="Verdana"/>
          <w:color w:val="006633"/>
          <w:sz w:val="28"/>
        </w:rPr>
        <w:t>European Biodiesel Board</w:t>
      </w:r>
      <w:r>
        <w:rPr>
          <w:rFonts w:ascii="Verdana" w:hAnsi="Verdana"/>
          <w:bCs/>
          <w:color w:val="006633"/>
          <w:sz w:val="22"/>
          <w:szCs w:val="22"/>
        </w:rPr>
        <w:br/>
      </w:r>
      <w:r>
        <w:rPr>
          <w:rFonts w:ascii="Verdana" w:hAnsi="Verdana"/>
          <w:color w:val="006633"/>
          <w:sz w:val="22"/>
        </w:rPr>
        <w:t>1040 Bruxelles, Belgija</w:t>
      </w:r>
      <w:r>
        <w:rPr>
          <w:rFonts w:ascii="Verdana" w:hAnsi="Verdana"/>
          <w:bCs/>
          <w:color w:val="006633"/>
          <w:sz w:val="22"/>
          <w:szCs w:val="22"/>
        </w:rPr>
        <w:br/>
      </w:r>
      <w:r>
        <w:rPr>
          <w:rFonts w:ascii="Verdana" w:hAnsi="Verdana"/>
          <w:color w:val="006633"/>
          <w:sz w:val="22"/>
        </w:rPr>
        <w:t>Tel.: +32 (0)2 763 2477</w:t>
      </w:r>
      <w:r>
        <w:rPr>
          <w:rFonts w:ascii="Verdana" w:hAnsi="Verdana"/>
          <w:bCs/>
          <w:color w:val="006633"/>
          <w:sz w:val="22"/>
          <w:szCs w:val="22"/>
        </w:rPr>
        <w:br/>
      </w:r>
      <w:r>
        <w:rPr>
          <w:rFonts w:ascii="Verdana" w:hAnsi="Verdana"/>
          <w:color w:val="006633"/>
          <w:sz w:val="22"/>
        </w:rPr>
        <w:t>Telefaks: +32 (0)2 763 0457</w:t>
      </w:r>
    </w:p>
    <w:p w:rsidR="005C03F3" w:rsidRPr="00E32034" w:rsidRDefault="005C03F3" w:rsidP="006558BC">
      <w:pPr>
        <w:rPr>
          <w:rFonts w:ascii="Verdana" w:hAnsi="Verdana"/>
          <w:sz w:val="22"/>
          <w:szCs w:val="22"/>
        </w:rPr>
      </w:pPr>
      <w:r>
        <w:rPr>
          <w:rFonts w:ascii="Verdana" w:hAnsi="Verdana"/>
          <w:sz w:val="22"/>
        </w:rPr>
        <w:t xml:space="preserve">Adresa e-pošte: </w:t>
      </w:r>
      <w:hyperlink r:id="rId13" w:tooltip=" ebb@ebb-eu.org" w:history="1">
        <w:r>
          <w:rPr>
            <w:rStyle w:val="Hyperlink"/>
            <w:rFonts w:ascii="Verdana" w:hAnsi="Verdana"/>
            <w:sz w:val="22"/>
          </w:rPr>
          <w:t>ebb@ebb-eu.org</w:t>
        </w:r>
      </w:hyperlink>
    </w:p>
    <w:p w:rsidR="004D14B9" w:rsidRPr="00E32034" w:rsidRDefault="00C30589" w:rsidP="006558BC">
      <w:pPr>
        <w:rPr>
          <w:rFonts w:ascii="Verdana" w:hAnsi="Verdana"/>
          <w:sz w:val="22"/>
          <w:szCs w:val="22"/>
        </w:rPr>
      </w:pPr>
      <w:r>
        <w:rPr>
          <w:rFonts w:ascii="Verdana" w:hAnsi="Verdana"/>
          <w:i/>
          <w:sz w:val="22"/>
        </w:rPr>
        <w:t>W</w:t>
      </w:r>
      <w:r w:rsidR="004D14B9">
        <w:rPr>
          <w:rFonts w:ascii="Verdana" w:hAnsi="Verdana"/>
          <w:i/>
          <w:sz w:val="22"/>
        </w:rPr>
        <w:t>eb</w:t>
      </w:r>
      <w:r w:rsidR="004D14B9">
        <w:rPr>
          <w:rFonts w:ascii="Verdana" w:hAnsi="Verdana"/>
          <w:sz w:val="22"/>
        </w:rPr>
        <w:t xml:space="preserve">-mjesto: </w:t>
      </w:r>
      <w:hyperlink r:id="rId14" w:history="1">
        <w:r w:rsidR="004D14B9">
          <w:rPr>
            <w:rStyle w:val="Hyperlink"/>
            <w:rFonts w:ascii="Verdana" w:hAnsi="Verdana"/>
            <w:sz w:val="22"/>
          </w:rPr>
          <w:t>www.ebb-eu.org</w:t>
        </w:r>
      </w:hyperlink>
    </w:p>
    <w:p w:rsidR="005C03F3" w:rsidRPr="00E32034" w:rsidRDefault="005C03F3" w:rsidP="005C03F3">
      <w:pPr>
        <w:rPr>
          <w:rFonts w:ascii="Verdana" w:hAnsi="Verdana"/>
          <w:b/>
          <w:color w:val="808080"/>
          <w:sz w:val="22"/>
          <w:szCs w:val="22"/>
        </w:rPr>
      </w:pPr>
    </w:p>
    <w:p w:rsidR="00660F29" w:rsidRPr="00E32034" w:rsidRDefault="00022290" w:rsidP="005C03F3">
      <w:pPr>
        <w:rPr>
          <w:rFonts w:ascii="Verdana" w:hAnsi="Verdana"/>
          <w:b/>
          <w:color w:val="808080"/>
          <w:sz w:val="22"/>
          <w:szCs w:val="22"/>
        </w:rPr>
      </w:pPr>
      <w:r>
        <w:rPr>
          <w:rFonts w:ascii="Verdana" w:hAnsi="Verdana"/>
          <w:b/>
          <w:color w:val="808080"/>
          <w:sz w:val="22"/>
        </w:rPr>
        <w:t>Informacije</w:t>
      </w:r>
      <w:r w:rsidR="005C03F3">
        <w:rPr>
          <w:rFonts w:ascii="Verdana" w:hAnsi="Verdana"/>
          <w:b/>
          <w:color w:val="808080"/>
          <w:sz w:val="22"/>
        </w:rPr>
        <w:t xml:space="preserve"> o EFISC-u</w:t>
      </w:r>
    </w:p>
    <w:p w:rsidR="005C03F3" w:rsidRPr="00942E2E" w:rsidRDefault="00660F29" w:rsidP="00660F29">
      <w:pPr>
        <w:ind w:firstLine="708"/>
        <w:jc w:val="right"/>
        <w:rPr>
          <w:rFonts w:ascii="Verdana" w:hAnsi="Verdana"/>
          <w:b/>
          <w:color w:val="1F497D" w:themeColor="text2"/>
          <w:sz w:val="36"/>
          <w:szCs w:val="36"/>
        </w:rPr>
      </w:pPr>
      <w:r>
        <w:rPr>
          <w:rFonts w:ascii="Verdana" w:hAnsi="Verdana"/>
          <w:b/>
          <w:color w:val="1F497D" w:themeColor="text2"/>
          <w:sz w:val="36"/>
        </w:rPr>
        <w:t>EFISC</w:t>
      </w:r>
    </w:p>
    <w:p w:rsidR="005C03F3" w:rsidRPr="00942E2E" w:rsidRDefault="00660F29" w:rsidP="00942E2E">
      <w:pPr>
        <w:jc w:val="right"/>
        <w:rPr>
          <w:rFonts w:ascii="Verdana" w:hAnsi="Verdana"/>
          <w:b/>
          <w:color w:val="1F497D" w:themeColor="text2"/>
          <w:sz w:val="16"/>
          <w:szCs w:val="16"/>
        </w:rPr>
      </w:pPr>
      <w:r>
        <w:rPr>
          <w:rFonts w:ascii="Verdana" w:hAnsi="Verdana"/>
          <w:b/>
          <w:color w:val="1F497D" w:themeColor="text2"/>
          <w:sz w:val="16"/>
        </w:rPr>
        <w:t>European Feed Ingredients Safety Certification</w:t>
      </w:r>
    </w:p>
    <w:p w:rsidR="005C03F3" w:rsidRPr="00120270" w:rsidRDefault="00C30589" w:rsidP="005C03F3">
      <w:pPr>
        <w:rPr>
          <w:rFonts w:ascii="Verdana" w:hAnsi="Verdana"/>
          <w:sz w:val="22"/>
          <w:szCs w:val="22"/>
        </w:rPr>
      </w:pPr>
      <w:r>
        <w:rPr>
          <w:rFonts w:ascii="Verdana" w:hAnsi="Verdana"/>
          <w:sz w:val="22"/>
        </w:rPr>
        <w:t>Podaci za k</w:t>
      </w:r>
      <w:r w:rsidR="005C03F3">
        <w:rPr>
          <w:rFonts w:ascii="Verdana" w:hAnsi="Verdana"/>
          <w:sz w:val="22"/>
        </w:rPr>
        <w:t>ontakt:</w:t>
      </w:r>
    </w:p>
    <w:p w:rsidR="005C03F3" w:rsidRPr="00120270" w:rsidRDefault="005C03F3" w:rsidP="005C03F3">
      <w:pPr>
        <w:rPr>
          <w:rFonts w:ascii="Verdana" w:hAnsi="Verdana"/>
          <w:sz w:val="22"/>
          <w:szCs w:val="22"/>
        </w:rPr>
      </w:pPr>
    </w:p>
    <w:p w:rsidR="005C03F3" w:rsidRPr="008E5292" w:rsidRDefault="005C03F3" w:rsidP="005C03F3">
      <w:pPr>
        <w:rPr>
          <w:rFonts w:ascii="Verdana" w:hAnsi="Verdana"/>
          <w:sz w:val="22"/>
          <w:szCs w:val="22"/>
        </w:rPr>
      </w:pPr>
      <w:r>
        <w:rPr>
          <w:rFonts w:ascii="Verdana" w:hAnsi="Verdana"/>
          <w:sz w:val="22"/>
        </w:rPr>
        <w:t>EFISC Aisbl</w:t>
      </w:r>
    </w:p>
    <w:p w:rsidR="005C03F3" w:rsidRPr="00AD68DE" w:rsidRDefault="000F0077" w:rsidP="005C03F3">
      <w:pPr>
        <w:rPr>
          <w:rFonts w:ascii="Verdana" w:hAnsi="Verdana"/>
          <w:sz w:val="22"/>
          <w:szCs w:val="22"/>
        </w:rPr>
      </w:pPr>
      <w:r>
        <w:rPr>
          <w:rFonts w:ascii="Verdana" w:hAnsi="Verdana"/>
          <w:sz w:val="22"/>
        </w:rPr>
        <w:t>Avenue des Arts 43 c/o Starch Europe</w:t>
      </w:r>
    </w:p>
    <w:p w:rsidR="005C03F3" w:rsidRPr="008A645C" w:rsidRDefault="005C03F3" w:rsidP="005C03F3">
      <w:pPr>
        <w:rPr>
          <w:rFonts w:ascii="Verdana" w:hAnsi="Verdana"/>
          <w:sz w:val="22"/>
          <w:szCs w:val="22"/>
        </w:rPr>
      </w:pPr>
      <w:r>
        <w:rPr>
          <w:rFonts w:ascii="Verdana" w:hAnsi="Verdana"/>
          <w:sz w:val="22"/>
        </w:rPr>
        <w:t>B 1040 Bruxelles</w:t>
      </w:r>
    </w:p>
    <w:p w:rsidR="005C03F3" w:rsidRPr="0072409A" w:rsidRDefault="005C03F3" w:rsidP="005C03F3">
      <w:pPr>
        <w:rPr>
          <w:rFonts w:ascii="Verdana" w:hAnsi="Verdana"/>
          <w:sz w:val="22"/>
          <w:szCs w:val="22"/>
        </w:rPr>
      </w:pPr>
      <w:r>
        <w:rPr>
          <w:rFonts w:ascii="Verdana" w:hAnsi="Verdana"/>
          <w:color w:val="000000"/>
          <w:kern w:val="28"/>
          <w:sz w:val="22"/>
        </w:rPr>
        <w:t>Tel.: + 32 (0)2 771 53 30</w:t>
      </w:r>
    </w:p>
    <w:p w:rsidR="005C03F3" w:rsidRPr="0072409A" w:rsidRDefault="005C03F3" w:rsidP="005C03F3">
      <w:pPr>
        <w:rPr>
          <w:rFonts w:ascii="Verdana" w:hAnsi="Verdana"/>
          <w:sz w:val="22"/>
          <w:szCs w:val="22"/>
        </w:rPr>
      </w:pPr>
      <w:r>
        <w:rPr>
          <w:rFonts w:ascii="Verdana" w:hAnsi="Verdana"/>
          <w:color w:val="000000"/>
          <w:kern w:val="28"/>
          <w:sz w:val="22"/>
        </w:rPr>
        <w:t>Telefaks: + 32 (0)2 771 38 17</w:t>
      </w:r>
    </w:p>
    <w:p w:rsidR="005C03F3" w:rsidRPr="0072409A" w:rsidRDefault="005C03F3" w:rsidP="006558BC">
      <w:pPr>
        <w:rPr>
          <w:rFonts w:ascii="Verdana" w:hAnsi="Verdana"/>
          <w:sz w:val="22"/>
          <w:szCs w:val="22"/>
        </w:rPr>
      </w:pPr>
      <w:r>
        <w:rPr>
          <w:rFonts w:ascii="Verdana" w:hAnsi="Verdana"/>
          <w:sz w:val="22"/>
        </w:rPr>
        <w:t xml:space="preserve">Adresa e-pošte: </w:t>
      </w:r>
      <w:hyperlink r:id="rId15" w:history="1">
        <w:r>
          <w:rPr>
            <w:rFonts w:ascii="Verdana" w:hAnsi="Verdana"/>
            <w:sz w:val="22"/>
          </w:rPr>
          <w:t>info@efisc.eu</w:t>
        </w:r>
      </w:hyperlink>
    </w:p>
    <w:p w:rsidR="005C03F3" w:rsidRPr="009218C6" w:rsidRDefault="00C30589" w:rsidP="006558BC">
      <w:pPr>
        <w:rPr>
          <w:rFonts w:ascii="Verdana" w:hAnsi="Verdana"/>
          <w:sz w:val="22"/>
          <w:szCs w:val="22"/>
        </w:rPr>
      </w:pPr>
      <w:r>
        <w:rPr>
          <w:rFonts w:ascii="Verdana" w:hAnsi="Verdana"/>
          <w:i/>
          <w:sz w:val="22"/>
        </w:rPr>
        <w:t>W</w:t>
      </w:r>
      <w:r w:rsidR="005C03F3">
        <w:rPr>
          <w:rFonts w:ascii="Verdana" w:hAnsi="Verdana"/>
          <w:i/>
          <w:sz w:val="22"/>
        </w:rPr>
        <w:t>eb</w:t>
      </w:r>
      <w:r w:rsidR="005C03F3">
        <w:rPr>
          <w:rFonts w:ascii="Verdana" w:hAnsi="Verdana"/>
          <w:sz w:val="22"/>
        </w:rPr>
        <w:t xml:space="preserve">-mjesto: </w:t>
      </w:r>
      <w:hyperlink r:id="rId16">
        <w:r w:rsidR="005C03F3">
          <w:rPr>
            <w:rFonts w:ascii="Verdana" w:hAnsi="Verdana"/>
            <w:sz w:val="22"/>
          </w:rPr>
          <w:t>www.efisc.eu</w:t>
        </w:r>
      </w:hyperlink>
    </w:p>
    <w:p w:rsidR="005C03F3" w:rsidRDefault="005C03F3" w:rsidP="005C03F3">
      <w:pPr>
        <w:widowControl w:val="0"/>
        <w:spacing w:after="140"/>
        <w:rPr>
          <w:rFonts w:ascii="Verdana" w:hAnsi="Verdana"/>
          <w:b/>
          <w:color w:val="808080"/>
          <w:kern w:val="28"/>
          <w:sz w:val="22"/>
          <w:szCs w:val="22"/>
        </w:rPr>
      </w:pPr>
    </w:p>
    <w:p w:rsidR="00416305" w:rsidRPr="00AD68DE" w:rsidRDefault="00C30589" w:rsidP="00416305">
      <w:pPr>
        <w:widowControl w:val="0"/>
        <w:spacing w:after="140"/>
        <w:rPr>
          <w:rFonts w:ascii="Verdana" w:hAnsi="Verdana"/>
          <w:b/>
          <w:color w:val="808080"/>
          <w:kern w:val="28"/>
          <w:sz w:val="22"/>
          <w:szCs w:val="22"/>
        </w:rPr>
      </w:pPr>
      <w:r>
        <w:rPr>
          <w:rFonts w:ascii="Verdana" w:hAnsi="Verdana"/>
          <w:b/>
          <w:color w:val="808080"/>
          <w:kern w:val="28"/>
          <w:sz w:val="22"/>
        </w:rPr>
        <w:t>Informacije</w:t>
      </w:r>
      <w:r w:rsidR="00416305">
        <w:rPr>
          <w:rFonts w:ascii="Verdana" w:hAnsi="Verdana"/>
          <w:b/>
          <w:color w:val="808080"/>
          <w:kern w:val="28"/>
          <w:sz w:val="22"/>
        </w:rPr>
        <w:t xml:space="preserve"> o objavljivanju i autorskim pravima</w:t>
      </w:r>
    </w:p>
    <w:p w:rsidR="00416305" w:rsidRDefault="00416305" w:rsidP="00416305">
      <w:pPr>
        <w:widowControl w:val="0"/>
        <w:spacing w:after="140"/>
        <w:rPr>
          <w:rFonts w:ascii="Verdana" w:hAnsi="Verdana"/>
          <w:sz w:val="22"/>
          <w:szCs w:val="22"/>
        </w:rPr>
      </w:pPr>
      <w:r>
        <w:rPr>
          <w:rFonts w:ascii="Verdana" w:hAnsi="Verdana"/>
          <w:sz w:val="22"/>
        </w:rPr>
        <w:t>Sva prava pridržana ©EFISC Aisbl</w:t>
      </w:r>
    </w:p>
    <w:p w:rsidR="00416305" w:rsidRDefault="00416305" w:rsidP="00416305">
      <w:pPr>
        <w:widowControl w:val="0"/>
        <w:spacing w:after="140"/>
        <w:rPr>
          <w:rFonts w:ascii="Verdana" w:hAnsi="Verdana"/>
          <w:color w:val="000000"/>
          <w:kern w:val="28"/>
          <w:sz w:val="22"/>
          <w:szCs w:val="22"/>
        </w:rPr>
      </w:pPr>
      <w:r>
        <w:rPr>
          <w:rFonts w:ascii="Verdana" w:hAnsi="Verdana"/>
          <w:color w:val="000000"/>
          <w:kern w:val="28"/>
          <w:sz w:val="22"/>
        </w:rPr>
        <w:t>Verzija 1.1.</w:t>
      </w:r>
    </w:p>
    <w:p w:rsidR="005C03F3" w:rsidRPr="00416305" w:rsidRDefault="00416305" w:rsidP="00416305">
      <w:pPr>
        <w:widowControl w:val="0"/>
        <w:spacing w:after="140"/>
        <w:rPr>
          <w:rFonts w:ascii="Verdana" w:hAnsi="Verdana"/>
          <w:b/>
          <w:color w:val="000000"/>
          <w:kern w:val="28"/>
          <w:sz w:val="22"/>
          <w:szCs w:val="22"/>
        </w:rPr>
      </w:pPr>
      <w:r>
        <w:rPr>
          <w:rFonts w:ascii="Verdana" w:hAnsi="Verdana"/>
          <w:color w:val="000000"/>
          <w:kern w:val="28"/>
          <w:sz w:val="22"/>
        </w:rPr>
        <w:t>Datum stupanja na snagu: studeni 2014.</w:t>
      </w:r>
    </w:p>
    <w:p w:rsidR="005E187D" w:rsidRPr="00E016F1" w:rsidRDefault="005C03F3">
      <w:pPr>
        <w:rPr>
          <w:rStyle w:val="Strong"/>
          <w:rFonts w:ascii="Verdana" w:hAnsi="Verdana" w:cs="Tahoma"/>
          <w:b w:val="0"/>
          <w:bCs w:val="0"/>
          <w:szCs w:val="20"/>
        </w:rPr>
      </w:pPr>
      <w:r>
        <w:br w:type="page"/>
      </w:r>
      <w:r>
        <w:rPr>
          <w:rStyle w:val="Strong"/>
          <w:rFonts w:ascii="Verdana" w:hAnsi="Verdana"/>
          <w:b w:val="0"/>
        </w:rPr>
        <w:lastRenderedPageBreak/>
        <w:t xml:space="preserve"> </w:t>
      </w:r>
    </w:p>
    <w:p w:rsidR="00120270" w:rsidRPr="003737F1" w:rsidRDefault="00120270" w:rsidP="00120270">
      <w:pPr>
        <w:pBdr>
          <w:top w:val="single" w:sz="4" w:space="1" w:color="auto"/>
          <w:left w:val="single" w:sz="4" w:space="4" w:color="auto"/>
          <w:bottom w:val="single" w:sz="4" w:space="1" w:color="auto"/>
          <w:right w:val="single" w:sz="4" w:space="4" w:color="auto"/>
        </w:pBdr>
        <w:shd w:val="clear" w:color="auto" w:fill="FDE9D9"/>
        <w:jc w:val="center"/>
        <w:rPr>
          <w:rFonts w:cs="Tahoma"/>
        </w:rPr>
      </w:pPr>
      <w:r>
        <w:rPr>
          <w:color w:val="FF0000"/>
        </w:rPr>
        <w:t xml:space="preserve">U ovom dokumentu iz sektora </w:t>
      </w:r>
      <w:proofErr w:type="spellStart"/>
      <w:r>
        <w:rPr>
          <w:color w:val="FF0000"/>
        </w:rPr>
        <w:t>biodizela</w:t>
      </w:r>
      <w:proofErr w:type="spellEnd"/>
      <w:r>
        <w:rPr>
          <w:color w:val="FF0000"/>
        </w:rPr>
        <w:t xml:space="preserve"> n</w:t>
      </w:r>
      <w:r w:rsidR="00A9523A">
        <w:rPr>
          <w:color w:val="FF0000"/>
        </w:rPr>
        <w:t>isu</w:t>
      </w:r>
      <w:r>
        <w:rPr>
          <w:color w:val="FF0000"/>
        </w:rPr>
        <w:t xml:space="preserve"> </w:t>
      </w:r>
      <w:r w:rsidR="00A9523A">
        <w:rPr>
          <w:color w:val="FF0000"/>
        </w:rPr>
        <w:t>uzeti u obzir</w:t>
      </w:r>
      <w:r>
        <w:rPr>
          <w:color w:val="FF0000"/>
        </w:rPr>
        <w:t xml:space="preserve"> procesi </w:t>
      </w:r>
      <w:proofErr w:type="spellStart"/>
      <w:r w:rsidR="00A9523A">
        <w:rPr>
          <w:color w:val="FF0000"/>
        </w:rPr>
        <w:t>prozvodnje</w:t>
      </w:r>
      <w:proofErr w:type="spellEnd"/>
      <w:r w:rsidR="00A9523A">
        <w:rPr>
          <w:color w:val="FF0000"/>
        </w:rPr>
        <w:t xml:space="preserve"> </w:t>
      </w:r>
      <w:r>
        <w:rPr>
          <w:color w:val="FF0000"/>
        </w:rPr>
        <w:t>životinjske masti / otpadnih ulja i od njih dobivena krmiva</w:t>
      </w:r>
      <w:r w:rsidR="00905886">
        <w:rPr>
          <w:color w:val="FF0000"/>
        </w:rPr>
        <w:t xml:space="preserve"> te</w:t>
      </w:r>
      <w:r>
        <w:rPr>
          <w:color w:val="FF0000"/>
        </w:rPr>
        <w:t xml:space="preserve"> </w:t>
      </w:r>
      <w:r w:rsidR="00905886">
        <w:rPr>
          <w:color w:val="FF0000"/>
        </w:rPr>
        <w:t xml:space="preserve">su oni </w:t>
      </w:r>
      <w:r>
        <w:rPr>
          <w:color w:val="FF0000"/>
        </w:rPr>
        <w:t>stoga izuzeti iz ovog sektorskog dokumenta i isključeni iz certificiranja EFISC-a</w:t>
      </w:r>
    </w:p>
    <w:p w:rsidR="007C2084" w:rsidRPr="00F66E5E" w:rsidRDefault="007C2084" w:rsidP="006D3ABA">
      <w:pPr>
        <w:jc w:val="both"/>
        <w:rPr>
          <w:rFonts w:ascii="Verdana" w:hAnsi="Verdana" w:cs="Tahoma"/>
          <w:szCs w:val="20"/>
        </w:rPr>
      </w:pPr>
    </w:p>
    <w:p w:rsidR="00120270" w:rsidRPr="00E752D5" w:rsidRDefault="00120270" w:rsidP="00120270">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Procjena rizika temelji se na sektorskom referentnom dokumentu F</w:t>
      </w:r>
      <w:r w:rsidR="00D63554">
        <w:rPr>
          <w:rFonts w:ascii="Verdana" w:hAnsi="Verdana"/>
        </w:rPr>
        <w:t>EDIOL-a</w:t>
      </w:r>
      <w:r>
        <w:rPr>
          <w:rFonts w:ascii="Verdana" w:hAnsi="Verdana"/>
        </w:rPr>
        <w:t xml:space="preserve"> (Dodatak 4. Europskog vodiča za dobru praksu u industrijskoj proizvodnji sigurnih krmiva) za proizvodnju biljnih ulja. Stoga je njegovo polazište prijevoz ulazn</w:t>
      </w:r>
      <w:r w:rsidR="00D63554">
        <w:rPr>
          <w:rFonts w:ascii="Verdana" w:hAnsi="Verdana"/>
        </w:rPr>
        <w:t>ih sirovina.</w:t>
      </w:r>
    </w:p>
    <w:p w:rsidR="00387FC1" w:rsidRPr="00F66E5E" w:rsidRDefault="00387FC1" w:rsidP="006D3ABA">
      <w:pPr>
        <w:jc w:val="both"/>
        <w:rPr>
          <w:rFonts w:ascii="Verdana" w:hAnsi="Verdana" w:cs="Tahoma"/>
          <w:szCs w:val="20"/>
        </w:rPr>
      </w:pPr>
    </w:p>
    <w:p w:rsidR="00C24B83" w:rsidRPr="00300F3C" w:rsidRDefault="00C24B83" w:rsidP="00DD7B4B">
      <w:pPr>
        <w:pStyle w:val="Heading1"/>
        <w:tabs>
          <w:tab w:val="clear" w:pos="432"/>
          <w:tab w:val="num" w:pos="408"/>
        </w:tabs>
        <w:rPr>
          <w:rFonts w:ascii="Verdana" w:hAnsi="Verdana" w:cs="Tahoma"/>
        </w:rPr>
      </w:pPr>
      <w:bookmarkStart w:id="0" w:name="_Toc354998605"/>
      <w:bookmarkStart w:id="1" w:name="_Toc435620753"/>
      <w:r>
        <w:rPr>
          <w:rFonts w:ascii="Verdana" w:hAnsi="Verdana"/>
        </w:rPr>
        <w:t>Uvod</w:t>
      </w:r>
      <w:bookmarkEnd w:id="0"/>
      <w:bookmarkEnd w:id="1"/>
      <w:r>
        <w:rPr>
          <w:rFonts w:ascii="Verdana" w:hAnsi="Verdana"/>
        </w:rPr>
        <w:t xml:space="preserve"> </w:t>
      </w:r>
    </w:p>
    <w:p w:rsidR="00C24B83" w:rsidRPr="00E016F1" w:rsidRDefault="00C24B83" w:rsidP="00C24B83">
      <w:pPr>
        <w:rPr>
          <w:rFonts w:ascii="Verdana" w:hAnsi="Verdana"/>
        </w:rPr>
      </w:pPr>
    </w:p>
    <w:p w:rsidR="00F66E5E" w:rsidRDefault="00C24B83" w:rsidP="00C24B83">
      <w:pPr>
        <w:jc w:val="both"/>
        <w:rPr>
          <w:rFonts w:ascii="Verdana" w:hAnsi="Verdana" w:cs="Tahoma"/>
        </w:rPr>
      </w:pPr>
      <w:r>
        <w:rPr>
          <w:rFonts w:ascii="Verdana" w:hAnsi="Verdana"/>
        </w:rPr>
        <w:t xml:space="preserve">Članovi Europskog odbora za biodizel (dalje u tekstu: </w:t>
      </w:r>
      <w:r w:rsidR="00D51C74">
        <w:rPr>
          <w:rFonts w:ascii="Verdana" w:hAnsi="Verdana"/>
        </w:rPr>
        <w:t>„</w:t>
      </w:r>
      <w:r>
        <w:rPr>
          <w:rFonts w:ascii="Verdana" w:hAnsi="Verdana"/>
        </w:rPr>
        <w:t>EBB</w:t>
      </w:r>
      <w:r w:rsidR="00D51C74">
        <w:rPr>
          <w:rFonts w:ascii="Verdana" w:hAnsi="Verdana"/>
        </w:rPr>
        <w:t>”</w:t>
      </w:r>
      <w:r>
        <w:rPr>
          <w:rFonts w:ascii="Verdana" w:hAnsi="Verdana"/>
        </w:rPr>
        <w:t xml:space="preserve">) osim biodizela proizvode niz suproizvoda za hranidbu životinja i u tehničke svrhe. Članstvo EBB-a broji gotovo 80 poduzeća i udruženja iz 21 države članice EU-a. </w:t>
      </w:r>
    </w:p>
    <w:p w:rsidR="00F66E5E" w:rsidRPr="00300F3C" w:rsidRDefault="00F66E5E" w:rsidP="00C24B83">
      <w:pPr>
        <w:jc w:val="both"/>
        <w:rPr>
          <w:rFonts w:ascii="Verdana" w:hAnsi="Verdana" w:cs="Tahoma"/>
        </w:rPr>
      </w:pPr>
    </w:p>
    <w:p w:rsidR="00C24B83" w:rsidRPr="00300F3C" w:rsidRDefault="00C24B83" w:rsidP="00C24B83">
      <w:pPr>
        <w:pStyle w:val="NoSpacing"/>
        <w:rPr>
          <w:rFonts w:ascii="Verdana" w:hAnsi="Verdana" w:cs="Tahoma"/>
        </w:rPr>
      </w:pPr>
      <w:r>
        <w:rPr>
          <w:rFonts w:ascii="Verdana" w:hAnsi="Verdana"/>
        </w:rPr>
        <w:t xml:space="preserve">Članovi EBB-a obvezali su se na proizvodnju sigurnih krmiva i na dokazivanje </w:t>
      </w:r>
      <w:r w:rsidR="00D51C74">
        <w:rPr>
          <w:rFonts w:ascii="Verdana" w:hAnsi="Verdana"/>
        </w:rPr>
        <w:t>njihove</w:t>
      </w:r>
      <w:r>
        <w:rPr>
          <w:rFonts w:ascii="Verdana" w:hAnsi="Verdana"/>
        </w:rPr>
        <w:t xml:space="preserve"> usklađenosti s europskim zdravstvenim i sigurnosnim zahtjevima</w:t>
      </w:r>
      <w:r w:rsidR="00860184">
        <w:rPr>
          <w:rFonts w:ascii="Verdana" w:hAnsi="Verdana"/>
        </w:rPr>
        <w:t>,</w:t>
      </w:r>
      <w:r>
        <w:rPr>
          <w:rFonts w:ascii="Verdana" w:hAnsi="Verdana"/>
        </w:rPr>
        <w:t xml:space="preserve"> </w:t>
      </w:r>
      <w:r w:rsidR="00860184">
        <w:rPr>
          <w:rFonts w:ascii="Verdana" w:hAnsi="Verdana"/>
        </w:rPr>
        <w:t>osobito</w:t>
      </w:r>
      <w:r>
        <w:rPr>
          <w:rFonts w:ascii="Verdana" w:hAnsi="Verdana"/>
        </w:rPr>
        <w:t xml:space="preserve"> u okviru Uredbe </w:t>
      </w:r>
      <w:r w:rsidR="00860184">
        <w:rPr>
          <w:rFonts w:ascii="Verdana" w:hAnsi="Verdana"/>
        </w:rPr>
        <w:t>br. 183/2005 o</w:t>
      </w:r>
      <w:r>
        <w:rPr>
          <w:rFonts w:ascii="Verdana" w:hAnsi="Verdana"/>
        </w:rPr>
        <w:t xml:space="preserve"> higijen</w:t>
      </w:r>
      <w:r w:rsidR="00860184">
        <w:rPr>
          <w:rFonts w:ascii="Verdana" w:hAnsi="Verdana"/>
        </w:rPr>
        <w:t>i</w:t>
      </w:r>
      <w:r>
        <w:rPr>
          <w:rFonts w:ascii="Verdana" w:hAnsi="Verdana"/>
        </w:rPr>
        <w:t xml:space="preserve"> hrane za životinje i u okviru Kataloga krmiva (Uredba </w:t>
      </w:r>
      <w:r w:rsidR="00860184">
        <w:rPr>
          <w:rFonts w:ascii="Verdana" w:hAnsi="Verdana"/>
        </w:rPr>
        <w:t>br. </w:t>
      </w:r>
      <w:r>
        <w:rPr>
          <w:rFonts w:ascii="Verdana" w:hAnsi="Verdana"/>
        </w:rPr>
        <w:t xml:space="preserve">68/2013). </w:t>
      </w:r>
    </w:p>
    <w:p w:rsidR="00C24B83" w:rsidRPr="00300F3C" w:rsidRDefault="00C24B83"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Biodizel je obnovljivo gorivo koje predstavlja održivu alternativu fosilnim gorivima. Uz to što se njime smanjuj</w:t>
      </w:r>
      <w:r w:rsidR="007025EC">
        <w:rPr>
          <w:rFonts w:ascii="Verdana" w:hAnsi="Verdana"/>
        </w:rPr>
        <w:t>u</w:t>
      </w:r>
      <w:r>
        <w:rPr>
          <w:rFonts w:ascii="Verdana" w:hAnsi="Verdana"/>
        </w:rPr>
        <w:t xml:space="preserve"> emisij</w:t>
      </w:r>
      <w:r w:rsidR="007025EC">
        <w:rPr>
          <w:rFonts w:ascii="Verdana" w:hAnsi="Verdana"/>
        </w:rPr>
        <w:t>e</w:t>
      </w:r>
      <w:r>
        <w:rPr>
          <w:rFonts w:ascii="Verdana" w:hAnsi="Verdana"/>
        </w:rPr>
        <w:t xml:space="preserve"> stakleničkih plinova u </w:t>
      </w:r>
      <w:r w:rsidR="007025EC">
        <w:rPr>
          <w:rFonts w:ascii="Verdana" w:hAnsi="Verdana"/>
        </w:rPr>
        <w:t xml:space="preserve">europskom sektoru </w:t>
      </w:r>
      <w:r>
        <w:rPr>
          <w:rFonts w:ascii="Verdana" w:hAnsi="Verdana"/>
        </w:rPr>
        <w:t>promet</w:t>
      </w:r>
      <w:r w:rsidR="007025EC">
        <w:rPr>
          <w:rFonts w:ascii="Verdana" w:hAnsi="Verdana"/>
        </w:rPr>
        <w:t>a</w:t>
      </w:r>
      <w:r>
        <w:rPr>
          <w:rFonts w:ascii="Verdana" w:hAnsi="Verdana"/>
        </w:rPr>
        <w:t xml:space="preserve">, </w:t>
      </w:r>
      <w:proofErr w:type="spellStart"/>
      <w:r>
        <w:rPr>
          <w:rFonts w:ascii="Verdana" w:hAnsi="Verdana"/>
        </w:rPr>
        <w:t>biodizelom</w:t>
      </w:r>
      <w:proofErr w:type="spellEnd"/>
      <w:r>
        <w:rPr>
          <w:rFonts w:ascii="Verdana" w:hAnsi="Verdana"/>
        </w:rPr>
        <w:t xml:space="preserve"> se osiguravaju velike količine glicerina koji se upotrebljava za hranu za životinje i ostale nusproizvode koji se upotrebljavaju u tehničke svrhe. </w:t>
      </w:r>
    </w:p>
    <w:p w:rsidR="00C24B83" w:rsidRPr="00300F3C" w:rsidRDefault="00C24B83" w:rsidP="00C24B83">
      <w:pPr>
        <w:pStyle w:val="NoSpacing"/>
        <w:rPr>
          <w:rFonts w:ascii="Verdana" w:hAnsi="Verdana" w:cs="Tahoma"/>
        </w:rPr>
      </w:pPr>
    </w:p>
    <w:p w:rsidR="007C2084" w:rsidRDefault="007025EC" w:rsidP="00C24B83">
      <w:pPr>
        <w:pStyle w:val="NoSpacing"/>
        <w:rPr>
          <w:rFonts w:ascii="Verdana" w:hAnsi="Verdana" w:cs="Tahoma"/>
        </w:rPr>
      </w:pPr>
      <w:r>
        <w:rPr>
          <w:rFonts w:ascii="Verdana" w:hAnsi="Verdana"/>
        </w:rPr>
        <w:t>Ovim</w:t>
      </w:r>
      <w:r w:rsidR="00C24B83">
        <w:rPr>
          <w:rFonts w:ascii="Verdana" w:hAnsi="Verdana"/>
        </w:rPr>
        <w:t xml:space="preserve"> se dokumentom namjerava pružiti potpora postrojenjima </w:t>
      </w:r>
      <w:r w:rsidR="00792A95">
        <w:rPr>
          <w:rFonts w:ascii="Verdana" w:hAnsi="Verdana"/>
        </w:rPr>
        <w:t>za</w:t>
      </w:r>
      <w:r w:rsidR="00C24B83">
        <w:rPr>
          <w:rFonts w:ascii="Verdana" w:hAnsi="Verdana"/>
        </w:rPr>
        <w:t xml:space="preserve"> </w:t>
      </w:r>
      <w:proofErr w:type="spellStart"/>
      <w:r w:rsidR="00C24B83">
        <w:rPr>
          <w:rFonts w:ascii="Verdana" w:hAnsi="Verdana"/>
        </w:rPr>
        <w:t>biodizel</w:t>
      </w:r>
      <w:proofErr w:type="spellEnd"/>
      <w:r w:rsidR="00C24B83">
        <w:rPr>
          <w:rFonts w:ascii="Verdana" w:hAnsi="Verdana"/>
        </w:rPr>
        <w:t xml:space="preserve"> u </w:t>
      </w:r>
      <w:r w:rsidR="00792A95">
        <w:rPr>
          <w:rFonts w:ascii="Verdana" w:hAnsi="Verdana"/>
        </w:rPr>
        <w:t>proizvodnji</w:t>
      </w:r>
      <w:r w:rsidR="00C24B83">
        <w:rPr>
          <w:rFonts w:ascii="Verdana" w:hAnsi="Verdana"/>
        </w:rPr>
        <w:t xml:space="preserve"> sigurnih krmiva. EBB je proveo procjen</w:t>
      </w:r>
      <w:r w:rsidR="004C79E5">
        <w:rPr>
          <w:rFonts w:ascii="Verdana" w:hAnsi="Verdana"/>
        </w:rPr>
        <w:t>e</w:t>
      </w:r>
      <w:r w:rsidR="00C24B83">
        <w:rPr>
          <w:rFonts w:ascii="Verdana" w:hAnsi="Verdana"/>
        </w:rPr>
        <w:t xml:space="preserve"> rizika lanca krmiva od glavnih ulaznih materijala koj</w:t>
      </w:r>
      <w:r w:rsidR="00EC3A99">
        <w:rPr>
          <w:rFonts w:ascii="Verdana" w:hAnsi="Verdana"/>
        </w:rPr>
        <w:t>e subjekti iz tog sektora</w:t>
      </w:r>
      <w:r w:rsidR="00C24B83">
        <w:rPr>
          <w:rFonts w:ascii="Verdana" w:hAnsi="Verdana"/>
        </w:rPr>
        <w:t xml:space="preserve"> </w:t>
      </w:r>
      <w:r w:rsidR="00EC3A99">
        <w:rPr>
          <w:rFonts w:ascii="Verdana" w:hAnsi="Verdana"/>
        </w:rPr>
        <w:t>pre</w:t>
      </w:r>
      <w:r w:rsidR="00C24B83">
        <w:rPr>
          <w:rFonts w:ascii="Verdana" w:hAnsi="Verdana"/>
        </w:rPr>
        <w:t>rađuj</w:t>
      </w:r>
      <w:r w:rsidR="00EC3A99">
        <w:rPr>
          <w:rFonts w:ascii="Verdana" w:hAnsi="Verdana"/>
        </w:rPr>
        <w:t>u</w:t>
      </w:r>
      <w:r w:rsidR="00C24B83">
        <w:rPr>
          <w:rFonts w:ascii="Verdana" w:hAnsi="Verdana"/>
        </w:rPr>
        <w:t xml:space="preserve">. </w:t>
      </w:r>
      <w:r w:rsidR="00E84A7D">
        <w:rPr>
          <w:rFonts w:ascii="Verdana" w:hAnsi="Verdana"/>
        </w:rPr>
        <w:t xml:space="preserve">Proizvođači </w:t>
      </w:r>
      <w:proofErr w:type="spellStart"/>
      <w:r w:rsidR="00E84A7D">
        <w:rPr>
          <w:rFonts w:ascii="Verdana" w:hAnsi="Verdana"/>
        </w:rPr>
        <w:t>biodizela</w:t>
      </w:r>
      <w:proofErr w:type="spellEnd"/>
      <w:r w:rsidR="00E84A7D">
        <w:rPr>
          <w:rFonts w:ascii="Verdana" w:hAnsi="Verdana"/>
        </w:rPr>
        <w:t xml:space="preserve"> mogu se koristiti tim procjenama kao instrumentom</w:t>
      </w:r>
      <w:r w:rsidR="00C24B83">
        <w:rPr>
          <w:rFonts w:ascii="Verdana" w:hAnsi="Verdana"/>
        </w:rPr>
        <w:t xml:space="preserve"> za ocjenjivanje vlastitog sustava upravljanja sigurnošću krmiva. </w:t>
      </w:r>
      <w:r w:rsidR="00E84A7D">
        <w:rPr>
          <w:rFonts w:ascii="Verdana" w:hAnsi="Verdana"/>
        </w:rPr>
        <w:t>P</w:t>
      </w:r>
      <w:r w:rsidR="00C24B83">
        <w:rPr>
          <w:rFonts w:ascii="Verdana" w:hAnsi="Verdana"/>
        </w:rPr>
        <w:t>roizvođači</w:t>
      </w:r>
      <w:r w:rsidR="00E84A7D">
        <w:rPr>
          <w:rFonts w:ascii="Verdana" w:hAnsi="Verdana"/>
        </w:rPr>
        <w:t xml:space="preserve"> se isto tako mogu osloniti na te procjene</w:t>
      </w:r>
      <w:r w:rsidR="00C24B83">
        <w:rPr>
          <w:rFonts w:ascii="Verdana" w:hAnsi="Verdana"/>
        </w:rPr>
        <w:t xml:space="preserve"> u </w:t>
      </w:r>
      <w:r w:rsidR="00E84A7D">
        <w:rPr>
          <w:rFonts w:ascii="Verdana" w:hAnsi="Verdana"/>
        </w:rPr>
        <w:t>svojem</w:t>
      </w:r>
      <w:r w:rsidR="00C24B83">
        <w:rPr>
          <w:rFonts w:ascii="Verdana" w:hAnsi="Verdana"/>
        </w:rPr>
        <w:t xml:space="preserve"> dijalogu </w:t>
      </w:r>
      <w:r w:rsidR="00E84A7D">
        <w:rPr>
          <w:rFonts w:ascii="Verdana" w:hAnsi="Verdana"/>
        </w:rPr>
        <w:t xml:space="preserve">s kupcima, dobavljačima i ostalim dionicima </w:t>
      </w:r>
      <w:r w:rsidR="00C24B83">
        <w:rPr>
          <w:rFonts w:ascii="Verdana" w:hAnsi="Verdana"/>
        </w:rPr>
        <w:t xml:space="preserve">o kontroli lanca. Procjene rizika u kojima se spominju kontrolne mjere predstavljaju daljnje detaljno utvrđivanje koncepta HACCP-a i pratećih Preduvjetnih programa spomenutih u poglavlju 5. i 6. </w:t>
      </w:r>
      <w:r w:rsidR="002F46C4">
        <w:rPr>
          <w:rFonts w:ascii="Verdana" w:hAnsi="Verdana"/>
        </w:rPr>
        <w:t xml:space="preserve">europskog </w:t>
      </w:r>
      <w:r w:rsidR="00E84A7D">
        <w:rPr>
          <w:rFonts w:ascii="Verdana" w:hAnsi="Verdana"/>
        </w:rPr>
        <w:t>v</w:t>
      </w:r>
      <w:r w:rsidR="00C24B83">
        <w:rPr>
          <w:rFonts w:ascii="Verdana" w:hAnsi="Verdana"/>
        </w:rPr>
        <w:t xml:space="preserve">odiča. </w:t>
      </w:r>
    </w:p>
    <w:p w:rsidR="00EF37AB" w:rsidRPr="00300F3C" w:rsidRDefault="00EF37AB"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EBB želi naglasiti da poduzeća imaju i dalje glavnu odgovornost za opskrbu sigurni</w:t>
      </w:r>
      <w:r w:rsidR="00012626">
        <w:rPr>
          <w:rFonts w:ascii="Verdana" w:hAnsi="Verdana"/>
        </w:rPr>
        <w:t>m</w:t>
      </w:r>
      <w:r>
        <w:rPr>
          <w:rFonts w:ascii="Verdana" w:hAnsi="Verdana"/>
        </w:rPr>
        <w:t xml:space="preserve"> krmiv</w:t>
      </w:r>
      <w:r w:rsidR="00012626">
        <w:rPr>
          <w:rFonts w:ascii="Verdana" w:hAnsi="Verdana"/>
        </w:rPr>
        <w:t>im</w:t>
      </w:r>
      <w:r>
        <w:rPr>
          <w:rFonts w:ascii="Verdana" w:hAnsi="Verdana"/>
        </w:rPr>
        <w:t xml:space="preserve">a te da se procjenom rizika ne može zamijeniti odgovornost. </w:t>
      </w:r>
    </w:p>
    <w:p w:rsidR="00863625" w:rsidRPr="00300F3C" w:rsidRDefault="00863625" w:rsidP="006D3ABA">
      <w:pPr>
        <w:jc w:val="both"/>
        <w:rPr>
          <w:rFonts w:ascii="Verdana" w:hAnsi="Verdana" w:cs="Tahoma"/>
          <w:szCs w:val="20"/>
        </w:rPr>
      </w:pPr>
    </w:p>
    <w:p w:rsidR="007207A0" w:rsidRPr="00E016F1" w:rsidRDefault="007207A0" w:rsidP="00A54A61">
      <w:pPr>
        <w:jc w:val="both"/>
        <w:rPr>
          <w:rFonts w:ascii="Verdana" w:hAnsi="Verdana"/>
        </w:rPr>
      </w:pPr>
    </w:p>
    <w:p w:rsidR="007207A0" w:rsidRPr="00300F3C" w:rsidRDefault="00387FC1" w:rsidP="004835CF">
      <w:pPr>
        <w:jc w:val="center"/>
        <w:rPr>
          <w:rFonts w:ascii="Verdana" w:hAnsi="Verdana"/>
          <w:b/>
          <w:sz w:val="22"/>
          <w:szCs w:val="22"/>
        </w:rPr>
      </w:pPr>
      <w:r>
        <w:br w:type="page"/>
      </w:r>
      <w:r>
        <w:rPr>
          <w:rFonts w:ascii="Verdana" w:hAnsi="Verdana"/>
          <w:b/>
          <w:sz w:val="22"/>
        </w:rPr>
        <w:lastRenderedPageBreak/>
        <w:t>Sadržaj</w:t>
      </w:r>
    </w:p>
    <w:p w:rsidR="009054A0" w:rsidRPr="00300F3C" w:rsidRDefault="009054A0" w:rsidP="004835CF">
      <w:pPr>
        <w:jc w:val="center"/>
        <w:rPr>
          <w:rFonts w:ascii="Verdana" w:hAnsi="Verdana"/>
          <w:b/>
          <w:sz w:val="22"/>
          <w:szCs w:val="22"/>
        </w:rPr>
      </w:pPr>
    </w:p>
    <w:p w:rsidR="00F938F3" w:rsidRDefault="007C363B">
      <w:pPr>
        <w:pStyle w:val="TOC1"/>
        <w:rPr>
          <w:rFonts w:asciiTheme="minorHAnsi" w:eastAsiaTheme="minorEastAsia" w:hAnsiTheme="minorHAnsi" w:cstheme="minorBidi"/>
          <w:b w:val="0"/>
          <w:sz w:val="22"/>
          <w:szCs w:val="22"/>
          <w:lang w:bidi="ar-SA"/>
        </w:rPr>
      </w:pPr>
      <w:r w:rsidRPr="004831A2">
        <w:fldChar w:fldCharType="begin"/>
      </w:r>
      <w:r w:rsidR="00863625" w:rsidRPr="004831A2">
        <w:instrText xml:space="preserve"> TOC \o "1-3" \h \z \u </w:instrText>
      </w:r>
      <w:r w:rsidRPr="004831A2">
        <w:fldChar w:fldCharType="separate"/>
      </w:r>
      <w:hyperlink w:anchor="_Toc435620753" w:history="1">
        <w:r w:rsidR="00F938F3" w:rsidRPr="008205B3">
          <w:rPr>
            <w:rStyle w:val="Hyperlink"/>
            <w:rFonts w:cs="Tahoma"/>
          </w:rPr>
          <w:t>1.</w:t>
        </w:r>
        <w:r w:rsidR="00F938F3">
          <w:rPr>
            <w:rFonts w:asciiTheme="minorHAnsi" w:eastAsiaTheme="minorEastAsia" w:hAnsiTheme="minorHAnsi" w:cstheme="minorBidi"/>
            <w:b w:val="0"/>
            <w:sz w:val="22"/>
            <w:szCs w:val="22"/>
            <w:lang w:bidi="ar-SA"/>
          </w:rPr>
          <w:tab/>
        </w:r>
        <w:r w:rsidR="00F938F3" w:rsidRPr="008205B3">
          <w:rPr>
            <w:rStyle w:val="Hyperlink"/>
          </w:rPr>
          <w:t>Uvod</w:t>
        </w:r>
        <w:r w:rsidR="00F938F3">
          <w:rPr>
            <w:webHidden/>
          </w:rPr>
          <w:tab/>
        </w:r>
        <w:r w:rsidR="00F938F3">
          <w:rPr>
            <w:webHidden/>
          </w:rPr>
          <w:fldChar w:fldCharType="begin"/>
        </w:r>
        <w:r w:rsidR="00F938F3">
          <w:rPr>
            <w:webHidden/>
          </w:rPr>
          <w:instrText xml:space="preserve"> PAGEREF _Toc435620753 \h </w:instrText>
        </w:r>
        <w:r w:rsidR="00F938F3">
          <w:rPr>
            <w:webHidden/>
          </w:rPr>
        </w:r>
        <w:r w:rsidR="00F938F3">
          <w:rPr>
            <w:webHidden/>
          </w:rPr>
          <w:fldChar w:fldCharType="separate"/>
        </w:r>
        <w:r w:rsidR="00F938F3">
          <w:rPr>
            <w:webHidden/>
          </w:rPr>
          <w:t>3</w:t>
        </w:r>
        <w:r w:rsidR="00F938F3">
          <w:rPr>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54" w:history="1">
        <w:r w:rsidR="00F938F3" w:rsidRPr="008205B3">
          <w:rPr>
            <w:rStyle w:val="Hyperlink"/>
          </w:rPr>
          <w:t>2.</w:t>
        </w:r>
        <w:r w:rsidR="00F938F3">
          <w:rPr>
            <w:rFonts w:asciiTheme="minorHAnsi" w:eastAsiaTheme="minorEastAsia" w:hAnsiTheme="minorHAnsi" w:cstheme="minorBidi"/>
            <w:b w:val="0"/>
            <w:sz w:val="22"/>
            <w:szCs w:val="22"/>
            <w:lang w:bidi="ar-SA"/>
          </w:rPr>
          <w:tab/>
        </w:r>
        <w:r w:rsidR="00F938F3" w:rsidRPr="008205B3">
          <w:rPr>
            <w:rStyle w:val="Hyperlink"/>
          </w:rPr>
          <w:t>Popis krmiva</w:t>
        </w:r>
        <w:r w:rsidR="00F938F3">
          <w:rPr>
            <w:webHidden/>
          </w:rPr>
          <w:tab/>
        </w:r>
        <w:r w:rsidR="00F938F3">
          <w:rPr>
            <w:webHidden/>
          </w:rPr>
          <w:fldChar w:fldCharType="begin"/>
        </w:r>
        <w:r w:rsidR="00F938F3">
          <w:rPr>
            <w:webHidden/>
          </w:rPr>
          <w:instrText xml:space="preserve"> PAGEREF _Toc435620754 \h </w:instrText>
        </w:r>
        <w:r w:rsidR="00F938F3">
          <w:rPr>
            <w:webHidden/>
          </w:rPr>
        </w:r>
        <w:r w:rsidR="00F938F3">
          <w:rPr>
            <w:webHidden/>
          </w:rPr>
          <w:fldChar w:fldCharType="separate"/>
        </w:r>
        <w:r w:rsidR="00F938F3">
          <w:rPr>
            <w:webHidden/>
          </w:rPr>
          <w:t>5</w:t>
        </w:r>
        <w:r w:rsidR="00F938F3">
          <w:rPr>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55" w:history="1">
        <w:r w:rsidR="00F938F3" w:rsidRPr="008205B3">
          <w:rPr>
            <w:rStyle w:val="Hyperlink"/>
            <w:rFonts w:cs="Tahoma"/>
          </w:rPr>
          <w:t>3.</w:t>
        </w:r>
        <w:r w:rsidR="00F938F3">
          <w:rPr>
            <w:rFonts w:asciiTheme="minorHAnsi" w:eastAsiaTheme="minorEastAsia" w:hAnsiTheme="minorHAnsi" w:cstheme="minorBidi"/>
            <w:b w:val="0"/>
            <w:sz w:val="22"/>
            <w:szCs w:val="22"/>
            <w:lang w:bidi="ar-SA"/>
          </w:rPr>
          <w:tab/>
        </w:r>
        <w:r w:rsidR="00F938F3" w:rsidRPr="008205B3">
          <w:rPr>
            <w:rStyle w:val="Hyperlink"/>
          </w:rPr>
          <w:t xml:space="preserve">Opis postupka </w:t>
        </w:r>
        <w:r w:rsidR="003C5124">
          <w:rPr>
            <w:rStyle w:val="Hyperlink"/>
          </w:rPr>
          <w:t>proizvodnje</w:t>
        </w:r>
        <w:r w:rsidR="00F938F3" w:rsidRPr="008205B3">
          <w:rPr>
            <w:rStyle w:val="Hyperlink"/>
          </w:rPr>
          <w:t xml:space="preserve"> biodizel</w:t>
        </w:r>
        <w:r w:rsidR="003C5124">
          <w:rPr>
            <w:rStyle w:val="Hyperlink"/>
          </w:rPr>
          <w:t>a</w:t>
        </w:r>
        <w:r w:rsidR="00F938F3">
          <w:rPr>
            <w:webHidden/>
          </w:rPr>
          <w:tab/>
        </w:r>
        <w:r w:rsidR="00F938F3">
          <w:rPr>
            <w:webHidden/>
          </w:rPr>
          <w:fldChar w:fldCharType="begin"/>
        </w:r>
        <w:r w:rsidR="00F938F3">
          <w:rPr>
            <w:webHidden/>
          </w:rPr>
          <w:instrText xml:space="preserve"> PAGEREF _Toc435620755 \h </w:instrText>
        </w:r>
        <w:r w:rsidR="00F938F3">
          <w:rPr>
            <w:webHidden/>
          </w:rPr>
        </w:r>
        <w:r w:rsidR="00F938F3">
          <w:rPr>
            <w:webHidden/>
          </w:rPr>
          <w:fldChar w:fldCharType="separate"/>
        </w:r>
        <w:r w:rsidR="00F938F3">
          <w:rPr>
            <w:webHidden/>
          </w:rPr>
          <w:t>7</w:t>
        </w:r>
        <w:r w:rsidR="00F938F3">
          <w:rPr>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56" w:history="1">
        <w:r w:rsidR="00F938F3" w:rsidRPr="008205B3">
          <w:rPr>
            <w:rStyle w:val="Hyperlink"/>
            <w:rFonts w:ascii="Verdana" w:hAnsi="Verdana"/>
            <w:noProof/>
          </w:rPr>
          <w:t>3.1.</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Zaprimanje biljnih ulja</w:t>
        </w:r>
        <w:r w:rsidR="00F938F3">
          <w:rPr>
            <w:noProof/>
            <w:webHidden/>
          </w:rPr>
          <w:tab/>
        </w:r>
        <w:r w:rsidR="00F938F3">
          <w:rPr>
            <w:noProof/>
            <w:webHidden/>
          </w:rPr>
          <w:fldChar w:fldCharType="begin"/>
        </w:r>
        <w:r w:rsidR="00F938F3">
          <w:rPr>
            <w:noProof/>
            <w:webHidden/>
          </w:rPr>
          <w:instrText xml:space="preserve"> PAGEREF _Toc435620756 \h </w:instrText>
        </w:r>
        <w:r w:rsidR="00F938F3">
          <w:rPr>
            <w:noProof/>
            <w:webHidden/>
          </w:rPr>
        </w:r>
        <w:r w:rsidR="00F938F3">
          <w:rPr>
            <w:noProof/>
            <w:webHidden/>
          </w:rPr>
          <w:fldChar w:fldCharType="separate"/>
        </w:r>
        <w:r w:rsidR="00F938F3">
          <w:rPr>
            <w:noProof/>
            <w:webHidden/>
          </w:rPr>
          <w:t>7</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57" w:history="1">
        <w:r w:rsidR="00F938F3" w:rsidRPr="008205B3">
          <w:rPr>
            <w:rStyle w:val="Hyperlink"/>
            <w:rFonts w:ascii="Verdana" w:hAnsi="Verdana"/>
            <w:noProof/>
          </w:rPr>
          <w:t>3.2.</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 xml:space="preserve">Faza reakcije / </w:t>
        </w:r>
        <w:r w:rsidR="003C5124">
          <w:rPr>
            <w:rStyle w:val="Hyperlink"/>
            <w:rFonts w:ascii="Verdana" w:hAnsi="Verdana"/>
            <w:noProof/>
          </w:rPr>
          <w:t>t</w:t>
        </w:r>
        <w:r w:rsidR="00F938F3" w:rsidRPr="008205B3">
          <w:rPr>
            <w:rStyle w:val="Hyperlink"/>
            <w:rFonts w:ascii="Verdana" w:hAnsi="Verdana"/>
            <w:noProof/>
          </w:rPr>
          <w:t>ransesterifikacija:</w:t>
        </w:r>
        <w:r w:rsidR="00F938F3">
          <w:rPr>
            <w:noProof/>
            <w:webHidden/>
          </w:rPr>
          <w:tab/>
        </w:r>
        <w:r w:rsidR="00F938F3">
          <w:rPr>
            <w:noProof/>
            <w:webHidden/>
          </w:rPr>
          <w:fldChar w:fldCharType="begin"/>
        </w:r>
        <w:r w:rsidR="00F938F3">
          <w:rPr>
            <w:noProof/>
            <w:webHidden/>
          </w:rPr>
          <w:instrText xml:space="preserve"> PAGEREF _Toc435620757 \h </w:instrText>
        </w:r>
        <w:r w:rsidR="00F938F3">
          <w:rPr>
            <w:noProof/>
            <w:webHidden/>
          </w:rPr>
        </w:r>
        <w:r w:rsidR="00F938F3">
          <w:rPr>
            <w:noProof/>
            <w:webHidden/>
          </w:rPr>
          <w:fldChar w:fldCharType="separate"/>
        </w:r>
        <w:r w:rsidR="00F938F3">
          <w:rPr>
            <w:noProof/>
            <w:webHidden/>
          </w:rPr>
          <w:t>7</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58" w:history="1">
        <w:r w:rsidR="00F938F3" w:rsidRPr="008205B3">
          <w:rPr>
            <w:rStyle w:val="Hyperlink"/>
            <w:rFonts w:ascii="Verdana" w:hAnsi="Verdana"/>
            <w:noProof/>
          </w:rPr>
          <w:t>3.3.</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Faza odvajanja</w:t>
        </w:r>
        <w:r w:rsidR="00F938F3">
          <w:rPr>
            <w:noProof/>
            <w:webHidden/>
          </w:rPr>
          <w:tab/>
        </w:r>
        <w:r w:rsidR="00F938F3">
          <w:rPr>
            <w:noProof/>
            <w:webHidden/>
          </w:rPr>
          <w:fldChar w:fldCharType="begin"/>
        </w:r>
        <w:r w:rsidR="00F938F3">
          <w:rPr>
            <w:noProof/>
            <w:webHidden/>
          </w:rPr>
          <w:instrText xml:space="preserve"> PAGEREF _Toc435620758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59" w:history="1">
        <w:r w:rsidR="00F938F3" w:rsidRPr="008205B3">
          <w:rPr>
            <w:rStyle w:val="Hyperlink"/>
            <w:rFonts w:ascii="Verdana" w:hAnsi="Verdana"/>
            <w:noProof/>
          </w:rPr>
          <w:t>3.4.</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Zakiseljavanje i odvajanje slobodnih masnih kiselina</w:t>
        </w:r>
        <w:r w:rsidR="00F938F3">
          <w:rPr>
            <w:noProof/>
            <w:webHidden/>
          </w:rPr>
          <w:tab/>
        </w:r>
        <w:r w:rsidR="00F938F3">
          <w:rPr>
            <w:noProof/>
            <w:webHidden/>
          </w:rPr>
          <w:fldChar w:fldCharType="begin"/>
        </w:r>
        <w:r w:rsidR="00F938F3">
          <w:rPr>
            <w:noProof/>
            <w:webHidden/>
          </w:rPr>
          <w:instrText xml:space="preserve"> PAGEREF _Toc435620759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0" w:history="1">
        <w:r w:rsidR="00F938F3" w:rsidRPr="008205B3">
          <w:rPr>
            <w:rStyle w:val="Hyperlink"/>
            <w:rFonts w:ascii="Verdana" w:hAnsi="Verdana"/>
            <w:noProof/>
          </w:rPr>
          <w:t>3.5.</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Neutralizacija glicerina</w:t>
        </w:r>
        <w:r w:rsidR="00F938F3">
          <w:rPr>
            <w:noProof/>
            <w:webHidden/>
          </w:rPr>
          <w:tab/>
        </w:r>
        <w:r w:rsidR="00F938F3">
          <w:rPr>
            <w:noProof/>
            <w:webHidden/>
          </w:rPr>
          <w:fldChar w:fldCharType="begin"/>
        </w:r>
        <w:r w:rsidR="00F938F3">
          <w:rPr>
            <w:noProof/>
            <w:webHidden/>
          </w:rPr>
          <w:instrText xml:space="preserve"> PAGEREF _Toc435620760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1" w:history="1">
        <w:r w:rsidR="00F938F3" w:rsidRPr="008205B3">
          <w:rPr>
            <w:rStyle w:val="Hyperlink"/>
            <w:rFonts w:ascii="Verdana" w:hAnsi="Verdana"/>
            <w:noProof/>
          </w:rPr>
          <w:t>3.6.</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Pranje metilnih estera</w:t>
        </w:r>
        <w:r w:rsidR="00F938F3">
          <w:rPr>
            <w:noProof/>
            <w:webHidden/>
          </w:rPr>
          <w:tab/>
        </w:r>
        <w:r w:rsidR="00F938F3">
          <w:rPr>
            <w:noProof/>
            <w:webHidden/>
          </w:rPr>
          <w:fldChar w:fldCharType="begin"/>
        </w:r>
        <w:r w:rsidR="00F938F3">
          <w:rPr>
            <w:noProof/>
            <w:webHidden/>
          </w:rPr>
          <w:instrText xml:space="preserve"> PAGEREF _Toc435620761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2" w:history="1">
        <w:r w:rsidR="00F938F3" w:rsidRPr="008205B3">
          <w:rPr>
            <w:rStyle w:val="Hyperlink"/>
            <w:rFonts w:ascii="Verdana" w:hAnsi="Verdana"/>
            <w:noProof/>
          </w:rPr>
          <w:t>3.7.</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Skladištenje</w:t>
        </w:r>
        <w:r w:rsidR="00F938F3">
          <w:rPr>
            <w:noProof/>
            <w:webHidden/>
          </w:rPr>
          <w:tab/>
        </w:r>
        <w:r w:rsidR="00F938F3">
          <w:rPr>
            <w:noProof/>
            <w:webHidden/>
          </w:rPr>
          <w:fldChar w:fldCharType="begin"/>
        </w:r>
        <w:r w:rsidR="00F938F3">
          <w:rPr>
            <w:noProof/>
            <w:webHidden/>
          </w:rPr>
          <w:instrText xml:space="preserve"> PAGEREF _Toc435620762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3" w:history="1">
        <w:r w:rsidR="00F938F3" w:rsidRPr="008205B3">
          <w:rPr>
            <w:rStyle w:val="Hyperlink"/>
            <w:rFonts w:ascii="Verdana" w:hAnsi="Verdana"/>
            <w:noProof/>
          </w:rPr>
          <w:t>3.8.</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Prijevoz</w:t>
        </w:r>
        <w:r w:rsidR="00F938F3">
          <w:rPr>
            <w:noProof/>
            <w:webHidden/>
          </w:rPr>
          <w:tab/>
        </w:r>
        <w:r w:rsidR="00F938F3">
          <w:rPr>
            <w:noProof/>
            <w:webHidden/>
          </w:rPr>
          <w:fldChar w:fldCharType="begin"/>
        </w:r>
        <w:r w:rsidR="00F938F3">
          <w:rPr>
            <w:noProof/>
            <w:webHidden/>
          </w:rPr>
          <w:instrText xml:space="preserve"> PAGEREF _Toc435620763 \h </w:instrText>
        </w:r>
        <w:r w:rsidR="00F938F3">
          <w:rPr>
            <w:noProof/>
            <w:webHidden/>
          </w:rPr>
        </w:r>
        <w:r w:rsidR="00F938F3">
          <w:rPr>
            <w:noProof/>
            <w:webHidden/>
          </w:rPr>
          <w:fldChar w:fldCharType="separate"/>
        </w:r>
        <w:r w:rsidR="00F938F3">
          <w:rPr>
            <w:noProof/>
            <w:webHidden/>
          </w:rPr>
          <w:t>8</w:t>
        </w:r>
        <w:r w:rsidR="00F938F3">
          <w:rPr>
            <w:noProof/>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64" w:history="1">
        <w:r w:rsidR="00F938F3" w:rsidRPr="008205B3">
          <w:rPr>
            <w:rStyle w:val="Hyperlink"/>
          </w:rPr>
          <w:t>6.</w:t>
        </w:r>
        <w:r w:rsidR="00F938F3">
          <w:rPr>
            <w:rFonts w:asciiTheme="minorHAnsi" w:eastAsiaTheme="minorEastAsia" w:hAnsiTheme="minorHAnsi" w:cstheme="minorBidi"/>
            <w:b w:val="0"/>
            <w:sz w:val="22"/>
            <w:szCs w:val="22"/>
            <w:lang w:bidi="ar-SA"/>
          </w:rPr>
          <w:tab/>
        </w:r>
        <w:r w:rsidR="00F938F3" w:rsidRPr="008205B3">
          <w:rPr>
            <w:rStyle w:val="Hyperlink"/>
          </w:rPr>
          <w:t xml:space="preserve">Dijagram toka procesa </w:t>
        </w:r>
        <w:r w:rsidR="003C5124">
          <w:rPr>
            <w:rStyle w:val="Hyperlink"/>
          </w:rPr>
          <w:t xml:space="preserve">proizvodnje </w:t>
        </w:r>
        <w:r w:rsidR="00F938F3" w:rsidRPr="008205B3">
          <w:rPr>
            <w:rStyle w:val="Hyperlink"/>
          </w:rPr>
          <w:t>biodizela</w:t>
        </w:r>
        <w:r w:rsidR="00F938F3">
          <w:rPr>
            <w:webHidden/>
          </w:rPr>
          <w:tab/>
        </w:r>
        <w:r w:rsidR="00F938F3">
          <w:rPr>
            <w:webHidden/>
          </w:rPr>
          <w:fldChar w:fldCharType="begin"/>
        </w:r>
        <w:r w:rsidR="00F938F3">
          <w:rPr>
            <w:webHidden/>
          </w:rPr>
          <w:instrText xml:space="preserve"> PAGEREF _Toc435620764 \h </w:instrText>
        </w:r>
        <w:r w:rsidR="00F938F3">
          <w:rPr>
            <w:webHidden/>
          </w:rPr>
        </w:r>
        <w:r w:rsidR="00F938F3">
          <w:rPr>
            <w:webHidden/>
          </w:rPr>
          <w:fldChar w:fldCharType="separate"/>
        </w:r>
        <w:r w:rsidR="00F938F3">
          <w:rPr>
            <w:webHidden/>
          </w:rPr>
          <w:t>9</w:t>
        </w:r>
        <w:r w:rsidR="00F938F3">
          <w:rPr>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65" w:history="1">
        <w:r w:rsidR="00F938F3" w:rsidRPr="008205B3">
          <w:rPr>
            <w:rStyle w:val="Hyperlink"/>
            <w:rFonts w:cs="Tahoma"/>
          </w:rPr>
          <w:t>7.</w:t>
        </w:r>
        <w:r w:rsidR="00F938F3">
          <w:rPr>
            <w:rFonts w:asciiTheme="minorHAnsi" w:eastAsiaTheme="minorEastAsia" w:hAnsiTheme="minorHAnsi" w:cstheme="minorBidi"/>
            <w:b w:val="0"/>
            <w:sz w:val="22"/>
            <w:szCs w:val="22"/>
            <w:lang w:bidi="ar-SA"/>
          </w:rPr>
          <w:tab/>
        </w:r>
        <w:r w:rsidR="00F938F3" w:rsidRPr="008205B3">
          <w:rPr>
            <w:rStyle w:val="Hyperlink"/>
          </w:rPr>
          <w:t>Procjena rizika</w:t>
        </w:r>
        <w:r w:rsidR="00F938F3">
          <w:rPr>
            <w:webHidden/>
          </w:rPr>
          <w:tab/>
        </w:r>
        <w:r w:rsidR="00F938F3">
          <w:rPr>
            <w:webHidden/>
          </w:rPr>
          <w:fldChar w:fldCharType="begin"/>
        </w:r>
        <w:r w:rsidR="00F938F3">
          <w:rPr>
            <w:webHidden/>
          </w:rPr>
          <w:instrText xml:space="preserve"> PAGEREF _Toc435620765 \h </w:instrText>
        </w:r>
        <w:r w:rsidR="00F938F3">
          <w:rPr>
            <w:webHidden/>
          </w:rPr>
        </w:r>
        <w:r w:rsidR="00F938F3">
          <w:rPr>
            <w:webHidden/>
          </w:rPr>
          <w:fldChar w:fldCharType="separate"/>
        </w:r>
        <w:r w:rsidR="00F938F3">
          <w:rPr>
            <w:webHidden/>
          </w:rPr>
          <w:t>10</w:t>
        </w:r>
        <w:r w:rsidR="00F938F3">
          <w:rPr>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6" w:history="1">
        <w:r w:rsidR="00F938F3" w:rsidRPr="008205B3">
          <w:rPr>
            <w:rStyle w:val="Hyperlink"/>
            <w:rFonts w:ascii="Verdana" w:hAnsi="Verdana"/>
            <w:noProof/>
          </w:rPr>
          <w:t>7.1.</w:t>
        </w:r>
        <w:r w:rsidR="00F938F3">
          <w:rPr>
            <w:rFonts w:asciiTheme="minorHAnsi" w:eastAsiaTheme="minorEastAsia" w:hAnsiTheme="minorHAnsi" w:cstheme="minorBidi"/>
            <w:noProof/>
            <w:sz w:val="22"/>
            <w:szCs w:val="22"/>
            <w:lang w:bidi="ar-SA"/>
          </w:rPr>
          <w:tab/>
        </w:r>
        <w:r w:rsidR="003C5124">
          <w:rPr>
            <w:rStyle w:val="Hyperlink"/>
            <w:rFonts w:ascii="Verdana" w:hAnsi="Verdana"/>
            <w:noProof/>
          </w:rPr>
          <w:t>Ulazne sirovine za koje E</w:t>
        </w:r>
        <w:r w:rsidR="00F938F3" w:rsidRPr="008205B3">
          <w:rPr>
            <w:rStyle w:val="Hyperlink"/>
            <w:rFonts w:ascii="Verdana" w:hAnsi="Verdana"/>
            <w:noProof/>
          </w:rPr>
          <w:t>BB zahtijeva procjenu rizika lanca sigurnosti hrane</w:t>
        </w:r>
        <w:r w:rsidR="003C5124">
          <w:rPr>
            <w:rStyle w:val="Hyperlink"/>
            <w:rFonts w:ascii="Verdana" w:hAnsi="Verdana"/>
            <w:noProof/>
          </w:rPr>
          <w:t xml:space="preserve"> za životinje</w:t>
        </w:r>
        <w:r w:rsidR="00F938F3">
          <w:rPr>
            <w:noProof/>
            <w:webHidden/>
          </w:rPr>
          <w:tab/>
        </w:r>
        <w:r w:rsidR="00F938F3" w:rsidRPr="000D26DF">
          <w:rPr>
            <w:rStyle w:val="Hyperlink"/>
            <w:rFonts w:ascii="Verdana" w:hAnsi="Verdana"/>
            <w:webHidden/>
          </w:rPr>
          <w:fldChar w:fldCharType="begin"/>
        </w:r>
        <w:r w:rsidR="00F938F3" w:rsidRPr="000D26DF">
          <w:rPr>
            <w:rStyle w:val="Hyperlink"/>
            <w:rFonts w:ascii="Verdana" w:hAnsi="Verdana"/>
            <w:webHidden/>
          </w:rPr>
          <w:instrText xml:space="preserve"> PAGEREF _Toc435620766 \h </w:instrText>
        </w:r>
        <w:r w:rsidR="00F938F3" w:rsidRPr="000D26DF">
          <w:rPr>
            <w:rStyle w:val="Hyperlink"/>
            <w:rFonts w:ascii="Verdana" w:hAnsi="Verdana"/>
            <w:webHidden/>
          </w:rPr>
        </w:r>
        <w:r w:rsidR="00F938F3" w:rsidRPr="000D26DF">
          <w:rPr>
            <w:rStyle w:val="Hyperlink"/>
            <w:rFonts w:ascii="Verdana" w:hAnsi="Verdana"/>
            <w:webHidden/>
          </w:rPr>
          <w:fldChar w:fldCharType="separate"/>
        </w:r>
        <w:r w:rsidR="00F938F3" w:rsidRPr="000D26DF">
          <w:rPr>
            <w:rStyle w:val="Hyperlink"/>
            <w:rFonts w:ascii="Verdana" w:hAnsi="Verdana"/>
            <w:webHidden/>
          </w:rPr>
          <w:t>10</w:t>
        </w:r>
        <w:r w:rsidR="00F938F3" w:rsidRPr="000D26DF">
          <w:rPr>
            <w:rStyle w:val="Hyperlink"/>
            <w:rFonts w:ascii="Verdana" w:hAnsi="Verdana"/>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7" w:history="1">
        <w:r w:rsidR="00F938F3" w:rsidRPr="000D26DF">
          <w:rPr>
            <w:rStyle w:val="Hyperlink"/>
            <w:rFonts w:ascii="Verdana" w:hAnsi="Verdana"/>
            <w:noProof/>
          </w:rPr>
          <w:t>7.2.</w:t>
        </w:r>
        <w:r w:rsidR="00F938F3">
          <w:rPr>
            <w:rFonts w:asciiTheme="minorHAnsi" w:eastAsiaTheme="minorEastAsia" w:hAnsiTheme="minorHAnsi" w:cstheme="minorBidi"/>
            <w:noProof/>
            <w:sz w:val="22"/>
            <w:szCs w:val="22"/>
            <w:lang w:bidi="ar-SA"/>
          </w:rPr>
          <w:tab/>
        </w:r>
        <w:r w:rsidR="00F938F3" w:rsidRPr="000D26DF">
          <w:rPr>
            <w:rStyle w:val="Hyperlink"/>
            <w:rFonts w:ascii="Verdana" w:hAnsi="Verdana"/>
            <w:noProof/>
          </w:rPr>
          <w:t>Sažetak pristupa temeljenog na riziku za sektor biodizela</w:t>
        </w:r>
        <w:r w:rsidR="00F938F3">
          <w:rPr>
            <w:noProof/>
            <w:webHidden/>
          </w:rPr>
          <w:tab/>
        </w:r>
        <w:r w:rsidR="00F938F3" w:rsidRPr="000D26DF">
          <w:rPr>
            <w:rStyle w:val="Hyperlink"/>
            <w:rFonts w:ascii="Verdana" w:hAnsi="Verdana"/>
            <w:webHidden/>
          </w:rPr>
          <w:fldChar w:fldCharType="begin"/>
        </w:r>
        <w:r w:rsidR="00F938F3" w:rsidRPr="000D26DF">
          <w:rPr>
            <w:rStyle w:val="Hyperlink"/>
            <w:rFonts w:ascii="Verdana" w:hAnsi="Verdana"/>
            <w:webHidden/>
          </w:rPr>
          <w:instrText xml:space="preserve"> PAGEREF _Toc435620767 \h </w:instrText>
        </w:r>
        <w:r w:rsidR="00F938F3" w:rsidRPr="000D26DF">
          <w:rPr>
            <w:rStyle w:val="Hyperlink"/>
            <w:rFonts w:ascii="Verdana" w:hAnsi="Verdana"/>
            <w:webHidden/>
          </w:rPr>
        </w:r>
        <w:r w:rsidR="00F938F3" w:rsidRPr="000D26DF">
          <w:rPr>
            <w:rStyle w:val="Hyperlink"/>
            <w:rFonts w:ascii="Verdana" w:hAnsi="Verdana"/>
            <w:webHidden/>
          </w:rPr>
          <w:fldChar w:fldCharType="separate"/>
        </w:r>
        <w:r w:rsidR="00F938F3" w:rsidRPr="000D26DF">
          <w:rPr>
            <w:rStyle w:val="Hyperlink"/>
            <w:rFonts w:ascii="Verdana" w:hAnsi="Verdana"/>
            <w:webHidden/>
          </w:rPr>
          <w:t>10</w:t>
        </w:r>
        <w:r w:rsidR="00F938F3" w:rsidRPr="000D26DF">
          <w:rPr>
            <w:rStyle w:val="Hyperlink"/>
            <w:rFonts w:ascii="Verdana" w:hAnsi="Verdana"/>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8" w:history="1">
        <w:r w:rsidR="00F938F3" w:rsidRPr="000D26DF">
          <w:rPr>
            <w:rStyle w:val="Hyperlink"/>
            <w:rFonts w:ascii="Verdana" w:hAnsi="Verdana"/>
            <w:noProof/>
          </w:rPr>
          <w:t>7.3.</w:t>
        </w:r>
        <w:r w:rsidR="00F938F3">
          <w:rPr>
            <w:rFonts w:asciiTheme="minorHAnsi" w:eastAsiaTheme="minorEastAsia" w:hAnsiTheme="minorHAnsi" w:cstheme="minorBidi"/>
            <w:noProof/>
            <w:sz w:val="22"/>
            <w:szCs w:val="22"/>
            <w:lang w:bidi="ar-SA"/>
          </w:rPr>
          <w:tab/>
        </w:r>
        <w:r w:rsidR="00F938F3" w:rsidRPr="000D26DF">
          <w:rPr>
            <w:rStyle w:val="Hyperlink"/>
            <w:rFonts w:ascii="Verdana" w:hAnsi="Verdana"/>
            <w:noProof/>
          </w:rPr>
          <w:t xml:space="preserve">Pristup temeljen na riziku za karakterizaciju opasnosti primjenjivu na krmiva </w:t>
        </w:r>
        <w:r w:rsidR="003C5124" w:rsidRPr="000D26DF">
          <w:rPr>
            <w:rStyle w:val="Hyperlink"/>
            <w:rFonts w:ascii="Verdana" w:hAnsi="Verdana"/>
            <w:noProof/>
          </w:rPr>
          <w:t>proizašla iz</w:t>
        </w:r>
        <w:r w:rsidR="00F938F3" w:rsidRPr="000D26DF">
          <w:rPr>
            <w:rStyle w:val="Hyperlink"/>
            <w:rFonts w:ascii="Verdana" w:hAnsi="Verdana"/>
            <w:noProof/>
          </w:rPr>
          <w:t xml:space="preserve"> proizvodnj</w:t>
        </w:r>
        <w:r w:rsidR="003C5124" w:rsidRPr="000D26DF">
          <w:rPr>
            <w:rStyle w:val="Hyperlink"/>
            <w:rFonts w:ascii="Verdana" w:hAnsi="Verdana"/>
            <w:noProof/>
          </w:rPr>
          <w:t>e</w:t>
        </w:r>
        <w:r w:rsidR="00F938F3" w:rsidRPr="000D26DF">
          <w:rPr>
            <w:rStyle w:val="Hyperlink"/>
            <w:rFonts w:ascii="Verdana" w:hAnsi="Verdana"/>
            <w:noProof/>
          </w:rPr>
          <w:t xml:space="preserve"> biodizela</w:t>
        </w:r>
        <w:r w:rsidR="00F938F3">
          <w:rPr>
            <w:noProof/>
            <w:webHidden/>
          </w:rPr>
          <w:tab/>
        </w:r>
        <w:r w:rsidR="00F938F3" w:rsidRPr="000D26DF">
          <w:rPr>
            <w:rStyle w:val="Hyperlink"/>
            <w:rFonts w:ascii="Verdana" w:hAnsi="Verdana"/>
            <w:webHidden/>
          </w:rPr>
          <w:fldChar w:fldCharType="begin"/>
        </w:r>
        <w:r w:rsidR="00F938F3" w:rsidRPr="000D26DF">
          <w:rPr>
            <w:rStyle w:val="Hyperlink"/>
            <w:rFonts w:ascii="Verdana" w:hAnsi="Verdana"/>
            <w:webHidden/>
          </w:rPr>
          <w:instrText xml:space="preserve"> PAGEREF _Toc435620768 \h </w:instrText>
        </w:r>
        <w:r w:rsidR="00F938F3" w:rsidRPr="000D26DF">
          <w:rPr>
            <w:rStyle w:val="Hyperlink"/>
            <w:rFonts w:ascii="Verdana" w:hAnsi="Verdana"/>
            <w:webHidden/>
          </w:rPr>
        </w:r>
        <w:r w:rsidR="00F938F3" w:rsidRPr="000D26DF">
          <w:rPr>
            <w:rStyle w:val="Hyperlink"/>
            <w:rFonts w:ascii="Verdana" w:hAnsi="Verdana"/>
            <w:webHidden/>
          </w:rPr>
          <w:fldChar w:fldCharType="separate"/>
        </w:r>
        <w:r w:rsidR="00F938F3" w:rsidRPr="000D26DF">
          <w:rPr>
            <w:rStyle w:val="Hyperlink"/>
            <w:rFonts w:ascii="Verdana" w:hAnsi="Verdana"/>
            <w:webHidden/>
          </w:rPr>
          <w:t>11</w:t>
        </w:r>
        <w:r w:rsidR="00F938F3" w:rsidRPr="000D26DF">
          <w:rPr>
            <w:rStyle w:val="Hyperlink"/>
            <w:rFonts w:ascii="Verdana" w:hAnsi="Verdana"/>
            <w:webHidden/>
          </w:rPr>
          <w:fldChar w:fldCharType="end"/>
        </w:r>
      </w:hyperlink>
    </w:p>
    <w:p w:rsidR="00F938F3" w:rsidRDefault="0002776D">
      <w:pPr>
        <w:pStyle w:val="TOC2"/>
        <w:tabs>
          <w:tab w:val="left" w:pos="880"/>
          <w:tab w:val="right" w:leader="dot" w:pos="8828"/>
        </w:tabs>
        <w:rPr>
          <w:rFonts w:asciiTheme="minorHAnsi" w:eastAsiaTheme="minorEastAsia" w:hAnsiTheme="minorHAnsi" w:cstheme="minorBidi"/>
          <w:noProof/>
          <w:sz w:val="22"/>
          <w:szCs w:val="22"/>
          <w:lang w:bidi="ar-SA"/>
        </w:rPr>
      </w:pPr>
      <w:hyperlink w:anchor="_Toc435620769" w:history="1">
        <w:r w:rsidR="00F938F3" w:rsidRPr="008205B3">
          <w:rPr>
            <w:rStyle w:val="Hyperlink"/>
            <w:rFonts w:ascii="Verdana" w:hAnsi="Verdana"/>
            <w:noProof/>
          </w:rPr>
          <w:t>7.4.</w:t>
        </w:r>
        <w:r w:rsidR="00F938F3">
          <w:rPr>
            <w:rFonts w:asciiTheme="minorHAnsi" w:eastAsiaTheme="minorEastAsia" w:hAnsiTheme="minorHAnsi" w:cstheme="minorBidi"/>
            <w:noProof/>
            <w:sz w:val="22"/>
            <w:szCs w:val="22"/>
            <w:lang w:bidi="ar-SA"/>
          </w:rPr>
          <w:tab/>
        </w:r>
        <w:r w:rsidR="00F938F3" w:rsidRPr="008205B3">
          <w:rPr>
            <w:rStyle w:val="Hyperlink"/>
            <w:rFonts w:ascii="Verdana" w:hAnsi="Verdana"/>
            <w:noProof/>
          </w:rPr>
          <w:t>Postupak provođenja procjene rizika</w:t>
        </w:r>
        <w:r w:rsidR="00F938F3">
          <w:rPr>
            <w:noProof/>
            <w:webHidden/>
          </w:rPr>
          <w:tab/>
        </w:r>
        <w:r w:rsidR="00F938F3" w:rsidRPr="000D26DF">
          <w:rPr>
            <w:rStyle w:val="Hyperlink"/>
            <w:rFonts w:ascii="Verdana" w:hAnsi="Verdana"/>
            <w:webHidden/>
          </w:rPr>
          <w:fldChar w:fldCharType="begin"/>
        </w:r>
        <w:r w:rsidR="00F938F3" w:rsidRPr="000D26DF">
          <w:rPr>
            <w:rStyle w:val="Hyperlink"/>
            <w:rFonts w:ascii="Verdana" w:hAnsi="Verdana"/>
            <w:webHidden/>
          </w:rPr>
          <w:instrText xml:space="preserve"> PAGEREF _Toc435620769 \h </w:instrText>
        </w:r>
        <w:r w:rsidR="00F938F3" w:rsidRPr="000D26DF">
          <w:rPr>
            <w:rStyle w:val="Hyperlink"/>
            <w:rFonts w:ascii="Verdana" w:hAnsi="Verdana"/>
            <w:webHidden/>
          </w:rPr>
        </w:r>
        <w:r w:rsidR="00F938F3" w:rsidRPr="000D26DF">
          <w:rPr>
            <w:rStyle w:val="Hyperlink"/>
            <w:rFonts w:ascii="Verdana" w:hAnsi="Verdana"/>
            <w:webHidden/>
          </w:rPr>
          <w:fldChar w:fldCharType="separate"/>
        </w:r>
        <w:r w:rsidR="00F938F3" w:rsidRPr="000D26DF">
          <w:rPr>
            <w:rStyle w:val="Hyperlink"/>
            <w:rFonts w:ascii="Verdana" w:hAnsi="Verdana"/>
            <w:webHidden/>
          </w:rPr>
          <w:t>12</w:t>
        </w:r>
        <w:r w:rsidR="00F938F3" w:rsidRPr="000D26DF">
          <w:rPr>
            <w:rStyle w:val="Hyperlink"/>
            <w:rFonts w:ascii="Verdana" w:hAnsi="Verdana"/>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77" w:history="1">
        <w:r w:rsidR="00F938F3" w:rsidRPr="008205B3">
          <w:rPr>
            <w:rStyle w:val="Hyperlink"/>
          </w:rPr>
          <w:t>8. Pristup temeljen na riziku za glicerin</w:t>
        </w:r>
        <w:r w:rsidR="00F938F3">
          <w:rPr>
            <w:webHidden/>
          </w:rPr>
          <w:tab/>
        </w:r>
        <w:r w:rsidR="00F938F3">
          <w:rPr>
            <w:webHidden/>
          </w:rPr>
          <w:fldChar w:fldCharType="begin"/>
        </w:r>
        <w:r w:rsidR="00F938F3">
          <w:rPr>
            <w:webHidden/>
          </w:rPr>
          <w:instrText xml:space="preserve"> PAGEREF _Toc435620777 \h </w:instrText>
        </w:r>
        <w:r w:rsidR="00F938F3">
          <w:rPr>
            <w:webHidden/>
          </w:rPr>
        </w:r>
        <w:r w:rsidR="00F938F3">
          <w:rPr>
            <w:webHidden/>
          </w:rPr>
          <w:fldChar w:fldCharType="separate"/>
        </w:r>
        <w:r w:rsidR="00F938F3">
          <w:rPr>
            <w:webHidden/>
          </w:rPr>
          <w:t>13</w:t>
        </w:r>
        <w:r w:rsidR="00F938F3">
          <w:rPr>
            <w:webHidden/>
          </w:rPr>
          <w:fldChar w:fldCharType="end"/>
        </w:r>
      </w:hyperlink>
    </w:p>
    <w:p w:rsidR="00F938F3" w:rsidRDefault="0002776D">
      <w:pPr>
        <w:pStyle w:val="TOC1"/>
        <w:rPr>
          <w:rFonts w:asciiTheme="minorHAnsi" w:eastAsiaTheme="minorEastAsia" w:hAnsiTheme="minorHAnsi" w:cstheme="minorBidi"/>
          <w:b w:val="0"/>
          <w:sz w:val="22"/>
          <w:szCs w:val="22"/>
          <w:lang w:bidi="ar-SA"/>
        </w:rPr>
      </w:pPr>
      <w:hyperlink w:anchor="_Toc435620778" w:history="1">
        <w:r w:rsidR="00F938F3" w:rsidRPr="008205B3">
          <w:rPr>
            <w:rStyle w:val="Hyperlink"/>
          </w:rPr>
          <w:t>9. Minimalno praćenje</w:t>
        </w:r>
        <w:r w:rsidR="00F938F3">
          <w:rPr>
            <w:webHidden/>
          </w:rPr>
          <w:tab/>
        </w:r>
        <w:r w:rsidR="00F938F3">
          <w:rPr>
            <w:webHidden/>
          </w:rPr>
          <w:fldChar w:fldCharType="begin"/>
        </w:r>
        <w:r w:rsidR="00F938F3">
          <w:rPr>
            <w:webHidden/>
          </w:rPr>
          <w:instrText xml:space="preserve"> PAGEREF _Toc435620778 \h </w:instrText>
        </w:r>
        <w:r w:rsidR="00F938F3">
          <w:rPr>
            <w:webHidden/>
          </w:rPr>
        </w:r>
        <w:r w:rsidR="00F938F3">
          <w:rPr>
            <w:webHidden/>
          </w:rPr>
          <w:fldChar w:fldCharType="separate"/>
        </w:r>
        <w:r w:rsidR="00F938F3">
          <w:rPr>
            <w:webHidden/>
          </w:rPr>
          <w:t>24</w:t>
        </w:r>
        <w:r w:rsidR="00F938F3">
          <w:rPr>
            <w:webHidden/>
          </w:rPr>
          <w:fldChar w:fldCharType="end"/>
        </w:r>
      </w:hyperlink>
    </w:p>
    <w:p w:rsidR="004831A2" w:rsidRPr="004831A2" w:rsidRDefault="007C363B" w:rsidP="004831A2">
      <w:pPr>
        <w:pStyle w:val="TOC1"/>
        <w:rPr>
          <w:rFonts w:eastAsiaTheme="minorEastAsia" w:cstheme="minorBidi"/>
          <w:sz w:val="22"/>
          <w:szCs w:val="22"/>
        </w:rPr>
      </w:pPr>
      <w:r w:rsidRPr="004831A2">
        <w:fldChar w:fldCharType="end"/>
      </w:r>
    </w:p>
    <w:p w:rsidR="00CC33EE" w:rsidRPr="00E016F1" w:rsidRDefault="00BD667B" w:rsidP="005A0AC9">
      <w:pPr>
        <w:rPr>
          <w:rFonts w:ascii="Verdana" w:hAnsi="Verdana"/>
        </w:rPr>
      </w:pPr>
      <w:r>
        <w:br w:type="page"/>
      </w:r>
    </w:p>
    <w:p w:rsidR="0033448F" w:rsidRPr="00300F3C" w:rsidRDefault="00FA37B8" w:rsidP="00DD7B4B">
      <w:pPr>
        <w:pStyle w:val="Heading1"/>
        <w:tabs>
          <w:tab w:val="clear" w:pos="432"/>
          <w:tab w:val="num" w:pos="420"/>
        </w:tabs>
        <w:rPr>
          <w:rFonts w:ascii="Verdana" w:hAnsi="Verdana"/>
        </w:rPr>
      </w:pPr>
      <w:bookmarkStart w:id="2" w:name="_Toc354998606"/>
      <w:bookmarkStart w:id="3" w:name="_Toc435620754"/>
      <w:r>
        <w:rPr>
          <w:rFonts w:ascii="Verdana" w:hAnsi="Verdana"/>
        </w:rPr>
        <w:lastRenderedPageBreak/>
        <w:t>Popis krmiva</w:t>
      </w:r>
      <w:bookmarkEnd w:id="2"/>
      <w:bookmarkEnd w:id="3"/>
    </w:p>
    <w:p w:rsidR="00FA37B8" w:rsidRPr="00300F3C" w:rsidRDefault="00FA37B8" w:rsidP="00FA37B8">
      <w:pPr>
        <w:rPr>
          <w:rFonts w:ascii="Verdana" w:hAnsi="Verdana"/>
        </w:rPr>
      </w:pPr>
    </w:p>
    <w:p w:rsidR="00FA37B8" w:rsidRPr="00300F3C" w:rsidRDefault="00FA37B8" w:rsidP="00550C20">
      <w:pPr>
        <w:jc w:val="both"/>
        <w:rPr>
          <w:rFonts w:ascii="Verdana" w:hAnsi="Verdana" w:cs="Tahoma"/>
          <w:szCs w:val="20"/>
        </w:rPr>
      </w:pPr>
      <w:r>
        <w:rPr>
          <w:rFonts w:ascii="Verdana" w:hAnsi="Verdana"/>
        </w:rPr>
        <w:t>Glavne sirovine koje s</w:t>
      </w:r>
      <w:r w:rsidR="00846FA4">
        <w:rPr>
          <w:rFonts w:ascii="Verdana" w:hAnsi="Verdana"/>
        </w:rPr>
        <w:t>e</w:t>
      </w:r>
      <w:r>
        <w:rPr>
          <w:rFonts w:ascii="Verdana" w:hAnsi="Verdana"/>
        </w:rPr>
        <w:t xml:space="preserve"> obrađuju u </w:t>
      </w:r>
      <w:proofErr w:type="spellStart"/>
      <w:r>
        <w:rPr>
          <w:rFonts w:ascii="Verdana" w:hAnsi="Verdana"/>
        </w:rPr>
        <w:t>biodizelskoj</w:t>
      </w:r>
      <w:proofErr w:type="spellEnd"/>
      <w:r>
        <w:rPr>
          <w:rFonts w:ascii="Verdana" w:hAnsi="Verdana"/>
        </w:rPr>
        <w:t xml:space="preserve"> industriji </w:t>
      </w:r>
      <w:r w:rsidR="00846FA4">
        <w:rPr>
          <w:rFonts w:ascii="Verdana" w:hAnsi="Verdana"/>
        </w:rPr>
        <w:t>EU-a je</w:t>
      </w:r>
      <w:r>
        <w:rPr>
          <w:rFonts w:ascii="Verdana" w:hAnsi="Verdana"/>
        </w:rPr>
        <w:t>su ulje uljane repice, sojino ulje, suncokretovo ulje i palmino ulje u kombinaciji s metanolom.</w:t>
      </w:r>
    </w:p>
    <w:p w:rsidR="00F9433E" w:rsidRPr="00300F3C" w:rsidRDefault="00F9433E" w:rsidP="00550C20">
      <w:pPr>
        <w:jc w:val="both"/>
        <w:rPr>
          <w:rFonts w:ascii="Verdana" w:hAnsi="Verdana" w:cs="Tahoma"/>
          <w:szCs w:val="20"/>
        </w:rPr>
      </w:pPr>
    </w:p>
    <w:p w:rsidR="00F9433E" w:rsidRPr="00300F3C" w:rsidRDefault="00F9433E" w:rsidP="00550C20">
      <w:pPr>
        <w:pStyle w:val="Default"/>
        <w:jc w:val="both"/>
        <w:rPr>
          <w:rFonts w:ascii="Verdana" w:hAnsi="Verdana" w:cs="Tahoma"/>
          <w:sz w:val="20"/>
          <w:szCs w:val="20"/>
        </w:rPr>
      </w:pPr>
      <w:r>
        <w:rPr>
          <w:rFonts w:ascii="Verdana" w:hAnsi="Verdana"/>
          <w:sz w:val="20"/>
        </w:rPr>
        <w:t xml:space="preserve">Katalogom krmiva Europske unije </w:t>
      </w:r>
      <w:r w:rsidR="00413FCE">
        <w:rPr>
          <w:rFonts w:ascii="Verdana" w:hAnsi="Verdana"/>
          <w:sz w:val="20"/>
        </w:rPr>
        <w:t>uspostavljen je</w:t>
      </w:r>
      <w:r>
        <w:rPr>
          <w:rFonts w:ascii="Verdana" w:hAnsi="Verdana"/>
          <w:sz w:val="20"/>
        </w:rPr>
        <w:t xml:space="preserve"> zajednički sustav</w:t>
      </w:r>
      <w:r w:rsidR="00413FCE">
        <w:rPr>
          <w:rFonts w:ascii="Verdana" w:hAnsi="Verdana"/>
          <w:sz w:val="20"/>
        </w:rPr>
        <w:t xml:space="preserve"> </w:t>
      </w:r>
      <w:r>
        <w:rPr>
          <w:rFonts w:ascii="Verdana" w:hAnsi="Verdana"/>
          <w:sz w:val="20"/>
        </w:rPr>
        <w:t>EU-</w:t>
      </w:r>
      <w:r w:rsidR="00413FCE">
        <w:rPr>
          <w:rFonts w:ascii="Verdana" w:hAnsi="Verdana"/>
          <w:sz w:val="20"/>
        </w:rPr>
        <w:t>a</w:t>
      </w:r>
      <w:r>
        <w:rPr>
          <w:rFonts w:ascii="Verdana" w:hAnsi="Verdana"/>
          <w:sz w:val="20"/>
        </w:rPr>
        <w:t xml:space="preserve"> za opisivanje i označivanje krmiva. U Katalog je za svako popisano krmivo uvršten naziv proizvoda, identifikacijski broj, opis krmiva uključujući, prema potrebi, </w:t>
      </w:r>
      <w:r w:rsidR="00413FCE">
        <w:rPr>
          <w:rFonts w:ascii="Verdana" w:hAnsi="Verdana"/>
          <w:sz w:val="20"/>
        </w:rPr>
        <w:t>informacije</w:t>
      </w:r>
      <w:r>
        <w:rPr>
          <w:rFonts w:ascii="Verdana" w:hAnsi="Verdana"/>
          <w:sz w:val="20"/>
        </w:rPr>
        <w:t xml:space="preserve"> o proizvodnom procesu te pojedinosti kojima se zamjenjuje obvezno označivanje za potrebe članka 16. stavka 1. točke (b) Uredbe (EZ) br. 767/2009.</w:t>
      </w:r>
    </w:p>
    <w:p w:rsidR="00F9433E" w:rsidRPr="00300F3C" w:rsidRDefault="00F9433E" w:rsidP="00F9433E">
      <w:pPr>
        <w:pStyle w:val="Default"/>
        <w:jc w:val="both"/>
        <w:rPr>
          <w:rFonts w:ascii="Verdana" w:hAnsi="Verdana" w:cs="Tahoma"/>
          <w:sz w:val="20"/>
          <w:szCs w:val="20"/>
        </w:rPr>
      </w:pPr>
    </w:p>
    <w:p w:rsidR="00F9433E" w:rsidRPr="00300F3C" w:rsidRDefault="00F9433E" w:rsidP="00F9433E">
      <w:pPr>
        <w:pStyle w:val="Default"/>
        <w:jc w:val="both"/>
        <w:rPr>
          <w:rFonts w:ascii="Verdana" w:hAnsi="Verdana" w:cs="Tahoma"/>
          <w:sz w:val="20"/>
          <w:szCs w:val="20"/>
        </w:rPr>
      </w:pPr>
      <w:r>
        <w:rPr>
          <w:rFonts w:ascii="Verdana" w:hAnsi="Verdana"/>
          <w:sz w:val="20"/>
        </w:rPr>
        <w:t>Slijedi popis krmiva povezanih s biodizelom u smislu Uredbe 68/2013 (prilagođeno za biljno podrijetlo):</w:t>
      </w:r>
    </w:p>
    <w:tbl>
      <w:tblPr>
        <w:tblStyle w:val="TableGrid"/>
        <w:tblW w:w="0" w:type="auto"/>
        <w:tblLook w:val="04A0" w:firstRow="1" w:lastRow="0" w:firstColumn="1" w:lastColumn="0" w:noHBand="0" w:noVBand="1"/>
      </w:tblPr>
      <w:tblGrid>
        <w:gridCol w:w="1951"/>
        <w:gridCol w:w="992"/>
        <w:gridCol w:w="6111"/>
      </w:tblGrid>
      <w:tr w:rsidR="001C3A68" w:rsidTr="001C3A68">
        <w:tc>
          <w:tcPr>
            <w:tcW w:w="1951" w:type="dxa"/>
          </w:tcPr>
          <w:p w:rsidR="001C3A68" w:rsidRPr="001C3A68" w:rsidRDefault="001C3A68" w:rsidP="001C3A68">
            <w:pPr>
              <w:jc w:val="both"/>
              <w:rPr>
                <w:rFonts w:ascii="Verdana" w:hAnsi="Verdana" w:cs="Tahoma"/>
                <w:szCs w:val="20"/>
              </w:rPr>
            </w:pPr>
            <w:r>
              <w:rPr>
                <w:rFonts w:ascii="Verdana" w:hAnsi="Verdana"/>
              </w:rPr>
              <w:t>Glicerin, sirovi</w:t>
            </w:r>
          </w:p>
          <w:p w:rsidR="001C3A68" w:rsidRPr="001C3A68" w:rsidRDefault="001C3A68" w:rsidP="00550C20">
            <w:pPr>
              <w:jc w:val="both"/>
              <w:rPr>
                <w:rFonts w:ascii="Verdana" w:hAnsi="Verdana" w:cs="Tahoma"/>
                <w:szCs w:val="20"/>
              </w:rPr>
            </w:pPr>
          </w:p>
        </w:tc>
        <w:tc>
          <w:tcPr>
            <w:tcW w:w="992" w:type="dxa"/>
          </w:tcPr>
          <w:p w:rsidR="001C3A68" w:rsidRPr="001C3A68" w:rsidRDefault="001C3A68" w:rsidP="00550C20">
            <w:pPr>
              <w:jc w:val="both"/>
              <w:rPr>
                <w:rFonts w:ascii="Verdana" w:hAnsi="Verdana" w:cs="Tahoma"/>
                <w:szCs w:val="20"/>
              </w:rPr>
            </w:pPr>
            <w:r>
              <w:rPr>
                <w:rFonts w:ascii="Verdana" w:hAnsi="Verdana"/>
              </w:rPr>
              <w:t>13.8.1.</w:t>
            </w:r>
          </w:p>
        </w:tc>
        <w:tc>
          <w:tcPr>
            <w:tcW w:w="6111" w:type="dxa"/>
          </w:tcPr>
          <w:p w:rsidR="001C3A68" w:rsidRPr="00151ACA" w:rsidRDefault="001C3A68" w:rsidP="00800E2C">
            <w:pPr>
              <w:widowControl w:val="0"/>
              <w:autoSpaceDE w:val="0"/>
              <w:autoSpaceDN w:val="0"/>
              <w:adjustRightInd w:val="0"/>
              <w:ind w:left="84"/>
              <w:jc w:val="both"/>
              <w:rPr>
                <w:rFonts w:ascii="Verdana" w:hAnsi="Verdana"/>
                <w:szCs w:val="20"/>
              </w:rPr>
            </w:pPr>
            <w:r>
              <w:rPr>
                <w:rFonts w:ascii="Verdana" w:hAnsi="Verdana"/>
              </w:rPr>
              <w:t>Nusproizvod dobiven:</w:t>
            </w:r>
          </w:p>
          <w:p w:rsidR="001C3A68" w:rsidRPr="00151ACA" w:rsidRDefault="001C3A68" w:rsidP="00151ACA">
            <w:pPr>
              <w:widowControl w:val="0"/>
              <w:autoSpaceDE w:val="0"/>
              <w:autoSpaceDN w:val="0"/>
              <w:adjustRightInd w:val="0"/>
              <w:spacing w:before="85" w:line="235" w:lineRule="auto"/>
              <w:ind w:left="331" w:right="53" w:hanging="247"/>
              <w:jc w:val="both"/>
              <w:rPr>
                <w:rFonts w:ascii="Verdana" w:hAnsi="Verdana"/>
                <w:szCs w:val="20"/>
              </w:rPr>
            </w:pPr>
            <w:r>
              <w:rPr>
                <w:rFonts w:ascii="Verdana" w:hAnsi="Verdana"/>
              </w:rPr>
              <w:t xml:space="preserve">— oleokemijskim procesom cijepanja ulja/masti radi dobivanja masnih kiselina i slatke vode, nakon čega slijedi koncentriranje slatke vode kako bi se dobio sirovi glicerol ili transesterifikacijom (može sadržavati do 0,5 % metanola) prirodnih ulja/masti kako bi se dobili metilni esteri masnih kiselina i slatka voda, nakon čega slijedi koncentriranje slatke vode kako bi se dobio sirovi </w:t>
            </w:r>
            <w:proofErr w:type="spellStart"/>
            <w:r>
              <w:rPr>
                <w:rFonts w:ascii="Verdana" w:hAnsi="Verdana"/>
              </w:rPr>
              <w:t>glicerol</w:t>
            </w:r>
            <w:proofErr w:type="spellEnd"/>
          </w:p>
          <w:p w:rsidR="001C3A68" w:rsidRPr="00151ACA" w:rsidRDefault="001C3A68" w:rsidP="00800E2C">
            <w:pPr>
              <w:widowControl w:val="0"/>
              <w:autoSpaceDE w:val="0"/>
              <w:autoSpaceDN w:val="0"/>
              <w:adjustRightInd w:val="0"/>
              <w:spacing w:before="84" w:line="235" w:lineRule="auto"/>
              <w:ind w:left="331" w:right="53" w:hanging="247"/>
              <w:jc w:val="both"/>
              <w:rPr>
                <w:rFonts w:ascii="Verdana" w:hAnsi="Verdana"/>
                <w:szCs w:val="20"/>
              </w:rPr>
            </w:pPr>
            <w:r>
              <w:rPr>
                <w:rFonts w:ascii="Verdana" w:hAnsi="Verdana"/>
              </w:rPr>
              <w:t>— iz proizvodnje biodizela (metilnih ili etilnih estera masnih kiselina) koji se dobiva transesterifikacijom ulja i masti nespecifičnog biljnog podrijetla. U glicerinu mogu zaostati mineralne i organske soli (do 7,5 %).</w:t>
            </w:r>
          </w:p>
          <w:p w:rsidR="001C3A68" w:rsidRPr="00151ACA" w:rsidRDefault="001C3A68" w:rsidP="00151ACA">
            <w:pPr>
              <w:widowControl w:val="0"/>
              <w:autoSpaceDE w:val="0"/>
              <w:autoSpaceDN w:val="0"/>
              <w:adjustRightInd w:val="0"/>
              <w:spacing w:before="83"/>
              <w:ind w:left="84"/>
              <w:jc w:val="both"/>
              <w:rPr>
                <w:rFonts w:ascii="Verdana" w:hAnsi="Verdana"/>
                <w:szCs w:val="20"/>
              </w:rPr>
            </w:pPr>
            <w:r>
              <w:rPr>
                <w:rFonts w:ascii="Verdana" w:hAnsi="Verdana"/>
              </w:rPr>
              <w:t xml:space="preserve">Može sadržavati do 0,5 % metanola i do 4 % organskih tvari koje nisu gliceroli (MONG) i koje se sastoje od metilnih estera masnih kiselina, etilnih estera masnih kiselina, slobodnih masnih kiselina i </w:t>
            </w:r>
            <w:proofErr w:type="spellStart"/>
            <w:r>
              <w:rPr>
                <w:rFonts w:ascii="Verdana" w:hAnsi="Verdana"/>
              </w:rPr>
              <w:t>glicerida</w:t>
            </w:r>
            <w:proofErr w:type="spellEnd"/>
          </w:p>
          <w:p w:rsidR="00151ACA" w:rsidRDefault="001C3A68" w:rsidP="00151ACA">
            <w:pPr>
              <w:widowControl w:val="0"/>
              <w:autoSpaceDE w:val="0"/>
              <w:autoSpaceDN w:val="0"/>
              <w:adjustRightInd w:val="0"/>
              <w:spacing w:before="84" w:line="235" w:lineRule="auto"/>
              <w:ind w:left="331" w:right="55" w:hanging="247"/>
              <w:jc w:val="both"/>
              <w:rPr>
                <w:rFonts w:ascii="Verdana" w:hAnsi="Verdana"/>
                <w:szCs w:val="20"/>
              </w:rPr>
            </w:pPr>
            <w:r>
              <w:rPr>
                <w:rFonts w:ascii="Verdana" w:hAnsi="Verdana"/>
              </w:rPr>
              <w:t>— saponifikacijom ulja/masti biljnog podrijetla, obično s alkalijskim/zemnoalkalijskim kovinama, radi dobivanja sapuna.</w:t>
            </w:r>
          </w:p>
          <w:p w:rsidR="001C3A68" w:rsidRPr="00151ACA" w:rsidRDefault="001C3A68" w:rsidP="00151ACA">
            <w:pPr>
              <w:widowControl w:val="0"/>
              <w:autoSpaceDE w:val="0"/>
              <w:autoSpaceDN w:val="0"/>
              <w:adjustRightInd w:val="0"/>
              <w:spacing w:before="84" w:line="235" w:lineRule="auto"/>
              <w:ind w:left="331" w:right="55" w:hanging="247"/>
              <w:jc w:val="both"/>
              <w:rPr>
                <w:rFonts w:ascii="Verdana" w:hAnsi="Verdana"/>
                <w:szCs w:val="20"/>
              </w:rPr>
            </w:pPr>
            <w:r>
              <w:rPr>
                <w:rFonts w:ascii="Verdana" w:hAnsi="Verdana"/>
              </w:rPr>
              <w:t>Može sadržavati do 50 ppm nikla iz hidrogenacije.</w:t>
            </w:r>
          </w:p>
        </w:tc>
      </w:tr>
      <w:tr w:rsidR="001C3A68" w:rsidTr="001C3A68">
        <w:tc>
          <w:tcPr>
            <w:tcW w:w="1951" w:type="dxa"/>
          </w:tcPr>
          <w:p w:rsidR="001C3A68" w:rsidRPr="001C3A68" w:rsidRDefault="001C3A68" w:rsidP="00550C20">
            <w:pPr>
              <w:jc w:val="both"/>
              <w:rPr>
                <w:rFonts w:ascii="Verdana" w:hAnsi="Verdana" w:cs="Tahoma"/>
                <w:szCs w:val="20"/>
              </w:rPr>
            </w:pPr>
            <w:r>
              <w:rPr>
                <w:rFonts w:ascii="Verdana" w:hAnsi="Verdana"/>
              </w:rPr>
              <w:t>Glicerin</w:t>
            </w:r>
          </w:p>
        </w:tc>
        <w:tc>
          <w:tcPr>
            <w:tcW w:w="992" w:type="dxa"/>
          </w:tcPr>
          <w:p w:rsidR="001C3A68" w:rsidRPr="001C3A68" w:rsidRDefault="001C3A68" w:rsidP="00550C20">
            <w:pPr>
              <w:jc w:val="both"/>
              <w:rPr>
                <w:rFonts w:ascii="Verdana" w:hAnsi="Verdana" w:cs="Tahoma"/>
                <w:szCs w:val="20"/>
              </w:rPr>
            </w:pPr>
            <w:r>
              <w:rPr>
                <w:rFonts w:ascii="Verdana" w:hAnsi="Verdana"/>
              </w:rPr>
              <w:t>13.8.2.</w:t>
            </w:r>
          </w:p>
        </w:tc>
        <w:tc>
          <w:tcPr>
            <w:tcW w:w="6111" w:type="dxa"/>
          </w:tcPr>
          <w:p w:rsidR="001C3A68" w:rsidRPr="00151ACA" w:rsidRDefault="001C3A68" w:rsidP="001C3A68">
            <w:pPr>
              <w:widowControl w:val="0"/>
              <w:autoSpaceDE w:val="0"/>
              <w:autoSpaceDN w:val="0"/>
              <w:adjustRightInd w:val="0"/>
              <w:ind w:left="84"/>
              <w:rPr>
                <w:rFonts w:ascii="Verdana" w:hAnsi="Verdana"/>
                <w:szCs w:val="20"/>
              </w:rPr>
            </w:pPr>
            <w:r>
              <w:rPr>
                <w:rFonts w:ascii="Verdana" w:hAnsi="Verdana"/>
              </w:rPr>
              <w:t>Proizvod dobiven:</w:t>
            </w:r>
          </w:p>
          <w:p w:rsidR="001C3A68" w:rsidRPr="00151ACA" w:rsidRDefault="001C3A68" w:rsidP="00800E2C">
            <w:pPr>
              <w:widowControl w:val="0"/>
              <w:autoSpaceDE w:val="0"/>
              <w:autoSpaceDN w:val="0"/>
              <w:adjustRightInd w:val="0"/>
              <w:spacing w:before="87" w:line="192" w:lineRule="exact"/>
              <w:ind w:left="331" w:right="53" w:hanging="247"/>
              <w:rPr>
                <w:rFonts w:ascii="Verdana" w:hAnsi="Verdana"/>
                <w:szCs w:val="20"/>
              </w:rPr>
            </w:pPr>
            <w:r>
              <w:rPr>
                <w:rFonts w:ascii="Verdana" w:hAnsi="Verdana"/>
              </w:rPr>
              <w:t>— oleokemijskim procesom (a) cijepanja ulja/masti nakon čega slijedi koncentriranje slatke vode i rafiniranje destilacijom (vidi dio B, pojmovnik postupaka, unos 20) ili postupkom ionske razmjene; (b) transesterifikacijom prirodnih ulja/masti kako bi se dobili metilni esteri masnih kiselina i sirova slatka voda, nakon čega slijedi koncentriranje slatke vode kako bi se dobio sirovi glicerol te rafiniranje destilacijom ili postupkom ionske razmjene</w:t>
            </w:r>
          </w:p>
          <w:p w:rsidR="001C3A68" w:rsidRPr="00151ACA" w:rsidRDefault="001C3A68" w:rsidP="001C3A68">
            <w:pPr>
              <w:widowControl w:val="0"/>
              <w:autoSpaceDE w:val="0"/>
              <w:autoSpaceDN w:val="0"/>
              <w:adjustRightInd w:val="0"/>
              <w:spacing w:before="82" w:line="235" w:lineRule="auto"/>
              <w:ind w:left="331" w:right="53" w:hanging="247"/>
              <w:rPr>
                <w:rFonts w:ascii="Verdana" w:hAnsi="Verdana"/>
                <w:szCs w:val="20"/>
              </w:rPr>
            </w:pPr>
            <w:r>
              <w:rPr>
                <w:rFonts w:ascii="Verdana" w:hAnsi="Verdana"/>
              </w:rPr>
              <w:t>— iz proizvodnje biodizela (metilnih ili etilnih estera masnih kiselina) koji se dobiva transesterifikacijom ulja i masti nespecifičnog biljnog podrijetla uz naknadno rafiniranje glicerina. Najmanji udio glicerola:</w:t>
            </w:r>
          </w:p>
          <w:p w:rsidR="001C3A68" w:rsidRPr="00151ACA" w:rsidRDefault="001C3A68" w:rsidP="001C3A68">
            <w:pPr>
              <w:widowControl w:val="0"/>
              <w:tabs>
                <w:tab w:val="center" w:pos="2829"/>
              </w:tabs>
              <w:autoSpaceDE w:val="0"/>
              <w:autoSpaceDN w:val="0"/>
              <w:adjustRightInd w:val="0"/>
              <w:spacing w:line="193" w:lineRule="exact"/>
              <w:ind w:left="331"/>
              <w:rPr>
                <w:rFonts w:ascii="Verdana" w:hAnsi="Verdana"/>
                <w:szCs w:val="20"/>
              </w:rPr>
            </w:pPr>
            <w:r>
              <w:rPr>
                <w:rFonts w:ascii="Verdana" w:hAnsi="Verdana"/>
              </w:rPr>
              <w:t>99 % u suhoj tvari</w:t>
            </w:r>
            <w:r>
              <w:tab/>
            </w:r>
          </w:p>
          <w:p w:rsidR="001C3A68" w:rsidRPr="00151ACA" w:rsidRDefault="001C3A68" w:rsidP="001C3A68">
            <w:pPr>
              <w:widowControl w:val="0"/>
              <w:autoSpaceDE w:val="0"/>
              <w:autoSpaceDN w:val="0"/>
              <w:adjustRightInd w:val="0"/>
              <w:spacing w:before="84" w:line="235" w:lineRule="auto"/>
              <w:ind w:left="331" w:right="54" w:hanging="247"/>
              <w:jc w:val="both"/>
              <w:rPr>
                <w:rFonts w:ascii="Verdana" w:hAnsi="Verdana"/>
                <w:szCs w:val="20"/>
              </w:rPr>
            </w:pPr>
            <w:r>
              <w:rPr>
                <w:rFonts w:ascii="Verdana" w:hAnsi="Verdana"/>
              </w:rPr>
              <w:t xml:space="preserve">— saponifikacijom ulja/masti biljnog podrijetla, obično s alkalijskim/zemnoalkalijskim kovinama, radi dobivanja </w:t>
            </w:r>
            <w:r>
              <w:rPr>
                <w:rFonts w:ascii="Verdana" w:hAnsi="Verdana"/>
              </w:rPr>
              <w:lastRenderedPageBreak/>
              <w:t>sapuna, nakon čega slijedi rafiniranje sirovog glicerola i destiliranje.</w:t>
            </w:r>
          </w:p>
          <w:p w:rsidR="001C3A68" w:rsidRPr="001C3A68" w:rsidRDefault="001C3A68" w:rsidP="001C3A68">
            <w:pPr>
              <w:jc w:val="both"/>
              <w:rPr>
                <w:rFonts w:ascii="Verdana" w:hAnsi="Verdana" w:cs="Tahoma"/>
                <w:szCs w:val="20"/>
              </w:rPr>
            </w:pPr>
            <w:r>
              <w:rPr>
                <w:rFonts w:ascii="Verdana" w:hAnsi="Verdana"/>
              </w:rPr>
              <w:t>Može sadržavati do 50 ppm nikla iz hidrogenacije.</w:t>
            </w:r>
          </w:p>
        </w:tc>
      </w:tr>
    </w:tbl>
    <w:p w:rsidR="00FA37B8" w:rsidRDefault="00FA37B8" w:rsidP="00550C20">
      <w:pPr>
        <w:jc w:val="both"/>
        <w:rPr>
          <w:rFonts w:ascii="Verdana" w:hAnsi="Verdana" w:cs="Tahoma"/>
          <w:szCs w:val="20"/>
        </w:rPr>
      </w:pPr>
    </w:p>
    <w:p w:rsidR="00A54A61" w:rsidRPr="00EF37AB" w:rsidRDefault="008A5677" w:rsidP="009A2CDE">
      <w:pPr>
        <w:jc w:val="both"/>
        <w:rPr>
          <w:rFonts w:ascii="Verdana" w:hAnsi="Verdana" w:cs="Tahoma"/>
          <w:b/>
          <w:szCs w:val="20"/>
        </w:rPr>
      </w:pPr>
      <w:r>
        <w:rPr>
          <w:rFonts w:ascii="Verdana" w:hAnsi="Verdana"/>
          <w:b/>
        </w:rPr>
        <w:t xml:space="preserve">2.1. Pomoćne tvari u procesu proizvodnje koje se mogu upotrebljavati tijekom obrade i prerade  </w:t>
      </w:r>
    </w:p>
    <w:p w:rsidR="00CF3131" w:rsidRPr="00EF37AB" w:rsidRDefault="00CF3131" w:rsidP="009A2CDE">
      <w:pPr>
        <w:jc w:val="both"/>
        <w:rPr>
          <w:rFonts w:ascii="Verdana" w:hAnsi="Verdana" w:cs="Tahoma"/>
          <w:szCs w:val="20"/>
        </w:rPr>
      </w:pPr>
      <w:r>
        <w:rPr>
          <w:rFonts w:ascii="Verdana" w:hAnsi="Verdana"/>
        </w:rPr>
        <w:t>voda</w:t>
      </w:r>
    </w:p>
    <w:p w:rsidR="00CF3131" w:rsidRPr="00EF37AB" w:rsidRDefault="00CF3131" w:rsidP="009A2CDE">
      <w:pPr>
        <w:jc w:val="both"/>
        <w:rPr>
          <w:rFonts w:ascii="Verdana" w:hAnsi="Verdana" w:cs="Tahoma"/>
          <w:szCs w:val="20"/>
        </w:rPr>
      </w:pPr>
      <w:r>
        <w:rPr>
          <w:rFonts w:ascii="Verdana" w:hAnsi="Verdana"/>
        </w:rPr>
        <w:t>aluminijev sulfat</w:t>
      </w:r>
    </w:p>
    <w:p w:rsidR="00CF3131" w:rsidRPr="00EF37AB" w:rsidRDefault="00CF3131" w:rsidP="009A2CDE">
      <w:pPr>
        <w:jc w:val="both"/>
        <w:rPr>
          <w:rFonts w:ascii="Verdana" w:hAnsi="Verdana" w:cs="Tahoma"/>
          <w:szCs w:val="20"/>
        </w:rPr>
      </w:pPr>
      <w:r>
        <w:rPr>
          <w:rFonts w:ascii="Verdana" w:hAnsi="Verdana"/>
        </w:rPr>
        <w:t>limunska kiselina</w:t>
      </w:r>
    </w:p>
    <w:p w:rsidR="00CF3131" w:rsidRPr="00EF37AB" w:rsidRDefault="00CF3131" w:rsidP="009A2CDE">
      <w:pPr>
        <w:jc w:val="both"/>
        <w:rPr>
          <w:rFonts w:ascii="Verdana" w:hAnsi="Verdana" w:cs="Tahoma"/>
          <w:szCs w:val="20"/>
        </w:rPr>
      </w:pPr>
      <w:r>
        <w:rPr>
          <w:rFonts w:ascii="Verdana" w:hAnsi="Verdana"/>
        </w:rPr>
        <w:t>željezov klorid</w:t>
      </w:r>
    </w:p>
    <w:p w:rsidR="00CF3131" w:rsidRPr="00EF37AB" w:rsidRDefault="00CF3131" w:rsidP="009A2CDE">
      <w:pPr>
        <w:jc w:val="both"/>
        <w:rPr>
          <w:rFonts w:ascii="Verdana" w:hAnsi="Verdana" w:cs="Tahoma"/>
          <w:szCs w:val="20"/>
        </w:rPr>
      </w:pPr>
      <w:r>
        <w:rPr>
          <w:rFonts w:ascii="Verdana" w:hAnsi="Verdana"/>
        </w:rPr>
        <w:t>klorovodična kiselina</w:t>
      </w:r>
    </w:p>
    <w:p w:rsidR="00CF3131" w:rsidRPr="00EF37AB" w:rsidRDefault="00CF3131" w:rsidP="009A2CDE">
      <w:pPr>
        <w:jc w:val="both"/>
        <w:rPr>
          <w:rFonts w:ascii="Verdana" w:hAnsi="Verdana" w:cs="Tahoma"/>
          <w:szCs w:val="20"/>
        </w:rPr>
      </w:pPr>
      <w:r>
        <w:rPr>
          <w:rFonts w:ascii="Verdana" w:hAnsi="Verdana"/>
        </w:rPr>
        <w:t>kalijev hidroksid</w:t>
      </w:r>
    </w:p>
    <w:p w:rsidR="00CF3131" w:rsidRPr="00EF37AB" w:rsidRDefault="00CF3131" w:rsidP="009A2CDE">
      <w:pPr>
        <w:jc w:val="both"/>
        <w:rPr>
          <w:rFonts w:ascii="Verdana" w:hAnsi="Verdana" w:cs="Tahoma"/>
          <w:szCs w:val="20"/>
        </w:rPr>
      </w:pPr>
      <w:r>
        <w:rPr>
          <w:rFonts w:ascii="Verdana" w:hAnsi="Verdana"/>
        </w:rPr>
        <w:t>natrijev hidroksid</w:t>
      </w:r>
    </w:p>
    <w:p w:rsidR="00CF3131" w:rsidRPr="00EF37AB" w:rsidRDefault="00CF3131" w:rsidP="009A2CDE">
      <w:pPr>
        <w:jc w:val="both"/>
        <w:rPr>
          <w:rFonts w:ascii="Verdana" w:hAnsi="Verdana" w:cs="Tahoma"/>
          <w:szCs w:val="20"/>
        </w:rPr>
      </w:pPr>
      <w:r>
        <w:rPr>
          <w:rFonts w:ascii="Verdana" w:hAnsi="Verdana"/>
        </w:rPr>
        <w:t>natrijev metoksid</w:t>
      </w:r>
    </w:p>
    <w:p w:rsidR="00CF3131" w:rsidRDefault="008A5B95" w:rsidP="009A2CDE">
      <w:pPr>
        <w:jc w:val="both"/>
        <w:rPr>
          <w:rFonts w:ascii="Verdana" w:hAnsi="Verdana" w:cs="Tahoma"/>
          <w:szCs w:val="20"/>
        </w:rPr>
      </w:pPr>
      <w:r>
        <w:rPr>
          <w:rFonts w:ascii="Verdana" w:hAnsi="Verdana"/>
        </w:rPr>
        <w:t>sumporna kiselina</w:t>
      </w:r>
    </w:p>
    <w:p w:rsidR="008A5B95" w:rsidRDefault="008A5B95" w:rsidP="009A2CDE">
      <w:pPr>
        <w:jc w:val="both"/>
        <w:rPr>
          <w:rFonts w:ascii="Verdana" w:hAnsi="Verdana" w:cs="Tahoma"/>
          <w:szCs w:val="20"/>
        </w:rPr>
      </w:pPr>
      <w:r>
        <w:rPr>
          <w:rFonts w:ascii="Verdana" w:hAnsi="Verdana"/>
        </w:rPr>
        <w:t>fosforna kiselina</w:t>
      </w:r>
    </w:p>
    <w:p w:rsidR="00F04046" w:rsidRPr="00300F3C" w:rsidRDefault="00F04046" w:rsidP="009A2CDE">
      <w:pPr>
        <w:jc w:val="both"/>
        <w:rPr>
          <w:rFonts w:ascii="Verdana" w:hAnsi="Verdana" w:cs="Tahoma"/>
          <w:szCs w:val="20"/>
        </w:rPr>
      </w:pPr>
      <w:r>
        <w:rPr>
          <w:rFonts w:ascii="Verdana" w:hAnsi="Verdana"/>
        </w:rPr>
        <w:t>toluensulfonska kiselina</w:t>
      </w:r>
    </w:p>
    <w:p w:rsidR="00CF3131" w:rsidRPr="00300F3C" w:rsidRDefault="00CF3131" w:rsidP="009A2CDE">
      <w:pPr>
        <w:jc w:val="both"/>
        <w:rPr>
          <w:rFonts w:ascii="Verdana" w:hAnsi="Verdana" w:cs="Tahoma"/>
          <w:b/>
          <w:szCs w:val="20"/>
        </w:rPr>
      </w:pPr>
    </w:p>
    <w:p w:rsidR="00591963" w:rsidRPr="00D562AC" w:rsidRDefault="00E752D5" w:rsidP="00E752D5">
      <w:pPr>
        <w:rPr>
          <w:rFonts w:ascii="Verdana" w:hAnsi="Verdana"/>
          <w:u w:val="single"/>
        </w:rPr>
      </w:pPr>
      <w:r>
        <w:rPr>
          <w:rFonts w:ascii="Verdana" w:hAnsi="Verdana"/>
          <w:u w:val="single"/>
        </w:rPr>
        <w:t>Ovaj je popis nepotpun</w:t>
      </w:r>
      <w:r>
        <w:br w:type="page"/>
      </w:r>
    </w:p>
    <w:p w:rsidR="00667EF1" w:rsidRPr="00300F3C" w:rsidRDefault="00667EF1" w:rsidP="00DD7B4B">
      <w:pPr>
        <w:pStyle w:val="Heading1"/>
        <w:tabs>
          <w:tab w:val="clear" w:pos="432"/>
          <w:tab w:val="num" w:pos="420"/>
        </w:tabs>
        <w:rPr>
          <w:rFonts w:ascii="Verdana" w:hAnsi="Verdana" w:cs="Tahoma"/>
        </w:rPr>
      </w:pPr>
      <w:bookmarkStart w:id="4" w:name="_Toc354998607"/>
      <w:bookmarkStart w:id="5" w:name="_Toc435620755"/>
      <w:r>
        <w:rPr>
          <w:rFonts w:ascii="Verdana" w:hAnsi="Verdana"/>
        </w:rPr>
        <w:lastRenderedPageBreak/>
        <w:t xml:space="preserve">Opis postupka za </w:t>
      </w:r>
      <w:r w:rsidR="00AA7AE3">
        <w:rPr>
          <w:rFonts w:ascii="Verdana" w:hAnsi="Verdana"/>
        </w:rPr>
        <w:t xml:space="preserve">proizvodnju </w:t>
      </w:r>
      <w:proofErr w:type="spellStart"/>
      <w:r>
        <w:rPr>
          <w:rFonts w:ascii="Verdana" w:hAnsi="Verdana"/>
        </w:rPr>
        <w:t>biodizel</w:t>
      </w:r>
      <w:bookmarkEnd w:id="4"/>
      <w:bookmarkEnd w:id="5"/>
      <w:r w:rsidR="00AA7AE3">
        <w:rPr>
          <w:rFonts w:ascii="Verdana" w:hAnsi="Verdana"/>
        </w:rPr>
        <w:t>a</w:t>
      </w:r>
      <w:proofErr w:type="spellEnd"/>
    </w:p>
    <w:p w:rsidR="00BF3FB9" w:rsidRPr="00300F3C" w:rsidRDefault="00BF3FB9" w:rsidP="00BF3FB9">
      <w:pPr>
        <w:rPr>
          <w:rFonts w:ascii="Verdana" w:hAnsi="Verdana"/>
        </w:rPr>
      </w:pPr>
    </w:p>
    <w:p w:rsidR="005B3B72" w:rsidRDefault="005B3B72" w:rsidP="00586F90">
      <w:pPr>
        <w:autoSpaceDE w:val="0"/>
        <w:autoSpaceDN w:val="0"/>
        <w:adjustRightInd w:val="0"/>
        <w:jc w:val="both"/>
      </w:pPr>
      <w:r>
        <w:t>Biodizel se sastoji od metilnih estera masnih kiselina te nastaje kemijskom reakcijom ulja i masti s jednostavnim alkohol</w:t>
      </w:r>
      <w:r w:rsidR="00AA7AE3">
        <w:t>ima</w:t>
      </w:r>
      <w:r>
        <w:t>, uglavnom metanolom. Katalizator, obično natrijev ili kalijev hidroksid i/ili metilat, upotrebljava se za ubrzavanje stvaranja alkilnih estera. Taj je proizvodni proces poznat uglavnom kao transesterifikacija.</w:t>
      </w:r>
    </w:p>
    <w:p w:rsidR="00BF3FB9" w:rsidRPr="00300F3C" w:rsidRDefault="0005599A" w:rsidP="00586F90">
      <w:pPr>
        <w:autoSpaceDE w:val="0"/>
        <w:autoSpaceDN w:val="0"/>
        <w:adjustRightInd w:val="0"/>
        <w:jc w:val="both"/>
        <w:rPr>
          <w:rFonts w:ascii="Verdana" w:hAnsi="Verdana"/>
        </w:rPr>
      </w:pPr>
      <w:r w:rsidRPr="0005599A">
        <w:rPr>
          <w:noProof/>
          <w:lang w:val="en-GB" w:eastAsia="en-GB" w:bidi="ar-SA"/>
        </w:rPr>
        <w:drawing>
          <wp:inline distT="0" distB="0" distL="0" distR="0" wp14:anchorId="74353CC3" wp14:editId="3968FCA7">
            <wp:extent cx="5612130" cy="123682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1236823"/>
                    </a:xfrm>
                    <a:prstGeom prst="rect">
                      <a:avLst/>
                    </a:prstGeom>
                    <a:noFill/>
                    <a:ln>
                      <a:noFill/>
                    </a:ln>
                  </pic:spPr>
                </pic:pic>
              </a:graphicData>
            </a:graphic>
          </wp:inline>
        </w:drawing>
      </w:r>
    </w:p>
    <w:p w:rsidR="00BF3FB9" w:rsidRPr="00300F3C" w:rsidRDefault="00BF3FB9" w:rsidP="00BF3FB9">
      <w:pPr>
        <w:rPr>
          <w:rFonts w:ascii="Verdana" w:hAnsi="Verdana"/>
        </w:rPr>
      </w:pPr>
    </w:p>
    <w:p w:rsidR="00667EF1" w:rsidRPr="00300F3C" w:rsidRDefault="00667EF1" w:rsidP="00667EF1">
      <w:pPr>
        <w:jc w:val="both"/>
        <w:rPr>
          <w:rFonts w:ascii="Verdana" w:hAnsi="Verdana" w:cs="Tahoma"/>
          <w:szCs w:val="20"/>
        </w:rPr>
      </w:pPr>
      <w:r>
        <w:rPr>
          <w:rFonts w:ascii="Verdana" w:hAnsi="Verdana"/>
        </w:rPr>
        <w:t xml:space="preserve">U ovom će se odjeljku opisati postupak proizvodnje biodizela iz biljnih ulja u kojem se </w:t>
      </w:r>
      <w:proofErr w:type="spellStart"/>
      <w:r>
        <w:rPr>
          <w:rFonts w:ascii="Verdana" w:hAnsi="Verdana"/>
        </w:rPr>
        <w:t>trigliceridn</w:t>
      </w:r>
      <w:r w:rsidR="00AA7AE3">
        <w:rPr>
          <w:rFonts w:ascii="Verdana" w:hAnsi="Verdana"/>
        </w:rPr>
        <w:t>o</w:t>
      </w:r>
      <w:proofErr w:type="spellEnd"/>
      <w:r>
        <w:rPr>
          <w:rFonts w:ascii="Verdana" w:hAnsi="Verdana"/>
        </w:rPr>
        <w:t xml:space="preserve"> ulj</w:t>
      </w:r>
      <w:r w:rsidR="00AA7AE3">
        <w:rPr>
          <w:rFonts w:ascii="Verdana" w:hAnsi="Verdana"/>
        </w:rPr>
        <w:t>e</w:t>
      </w:r>
      <w:r>
        <w:rPr>
          <w:rFonts w:ascii="Verdana" w:hAnsi="Verdana"/>
        </w:rPr>
        <w:t xml:space="preserve"> rastavlja na </w:t>
      </w:r>
      <w:proofErr w:type="spellStart"/>
      <w:r>
        <w:rPr>
          <w:rFonts w:ascii="Verdana" w:hAnsi="Verdana"/>
        </w:rPr>
        <w:t>alkil</w:t>
      </w:r>
      <w:proofErr w:type="spellEnd"/>
      <w:r>
        <w:rPr>
          <w:rFonts w:ascii="Verdana" w:hAnsi="Verdana"/>
        </w:rPr>
        <w:t xml:space="preserve"> (</w:t>
      </w:r>
      <w:proofErr w:type="spellStart"/>
      <w:r>
        <w:rPr>
          <w:rFonts w:ascii="Verdana" w:hAnsi="Verdana"/>
        </w:rPr>
        <w:t>biodizel</w:t>
      </w:r>
      <w:proofErr w:type="spellEnd"/>
      <w:r>
        <w:rPr>
          <w:rFonts w:ascii="Verdana" w:hAnsi="Verdana"/>
        </w:rPr>
        <w:t xml:space="preserve">) i glicerin reakcijom s jednostavnim alkoholom. Biodizelska i glicerinska faza tada se odvajaju i pročišćavaju. Proizvodni procesi sadržavaju iste faze, neovisno o </w:t>
      </w:r>
      <w:r w:rsidR="00960138">
        <w:rPr>
          <w:rFonts w:ascii="Verdana" w:hAnsi="Verdana"/>
        </w:rPr>
        <w:t xml:space="preserve">volumenu </w:t>
      </w:r>
      <w:r>
        <w:rPr>
          <w:rFonts w:ascii="Verdana" w:hAnsi="Verdana"/>
        </w:rPr>
        <w:t>proizvodn</w:t>
      </w:r>
      <w:r w:rsidR="00960138">
        <w:rPr>
          <w:rFonts w:ascii="Verdana" w:hAnsi="Verdana"/>
        </w:rPr>
        <w:t>je</w:t>
      </w:r>
      <w:r>
        <w:rPr>
          <w:rFonts w:ascii="Verdana" w:hAnsi="Verdana"/>
        </w:rPr>
        <w:t xml:space="preserve">, iako razlike u pogledu opreme mogu biti znatne. </w:t>
      </w:r>
    </w:p>
    <w:p w:rsidR="00667EF1" w:rsidRPr="00E016F1" w:rsidRDefault="00667EF1" w:rsidP="00667EF1">
      <w:pPr>
        <w:jc w:val="both"/>
        <w:rPr>
          <w:rFonts w:ascii="Verdana" w:hAnsi="Verdana" w:cs="Tahoma"/>
          <w:i/>
          <w:szCs w:val="20"/>
        </w:rPr>
      </w:pPr>
    </w:p>
    <w:p w:rsidR="00667EF1" w:rsidRPr="00300F3C" w:rsidRDefault="00CF3131" w:rsidP="00DD7B4B">
      <w:pPr>
        <w:pStyle w:val="Heading2"/>
        <w:tabs>
          <w:tab w:val="clear" w:pos="709"/>
          <w:tab w:val="num" w:pos="697"/>
        </w:tabs>
        <w:rPr>
          <w:rFonts w:ascii="Verdana" w:hAnsi="Verdana"/>
        </w:rPr>
      </w:pPr>
      <w:bookmarkStart w:id="6" w:name="_Toc354998608"/>
      <w:bookmarkStart w:id="7" w:name="_Toc435620756"/>
      <w:r>
        <w:rPr>
          <w:rFonts w:ascii="Verdana" w:hAnsi="Verdana"/>
        </w:rPr>
        <w:t>Zaprimanje biljnih ulja</w:t>
      </w:r>
      <w:bookmarkEnd w:id="6"/>
      <w:bookmarkEnd w:id="7"/>
      <w:r>
        <w:rPr>
          <w:rFonts w:ascii="Verdana" w:hAnsi="Verdana"/>
        </w:rPr>
        <w:t xml:space="preserve"> </w:t>
      </w:r>
    </w:p>
    <w:p w:rsidR="00667EF1" w:rsidRPr="00300F3C" w:rsidRDefault="00667EF1" w:rsidP="005A4B4A">
      <w:pPr>
        <w:pStyle w:val="Heading2"/>
        <w:numPr>
          <w:ilvl w:val="0"/>
          <w:numId w:val="0"/>
        </w:numPr>
        <w:ind w:left="578"/>
        <w:rPr>
          <w:rFonts w:ascii="Verdana" w:hAnsi="Verdana"/>
        </w:rPr>
      </w:pPr>
    </w:p>
    <w:p w:rsidR="00A246EB" w:rsidRDefault="00A246EB" w:rsidP="00A246EB">
      <w:pPr>
        <w:jc w:val="both"/>
        <w:rPr>
          <w:rFonts w:ascii="Verdana" w:hAnsi="Verdana" w:cs="Tahoma"/>
          <w:szCs w:val="20"/>
        </w:rPr>
      </w:pPr>
      <w:r>
        <w:rPr>
          <w:rFonts w:ascii="Verdana" w:hAnsi="Verdana"/>
        </w:rPr>
        <w:t xml:space="preserve">Biljna ulja dostavljena u postrojenja za proizvodnju biodizela djelomično su rafinirana biljna ulja. </w:t>
      </w:r>
      <w:r w:rsidR="005E50D8">
        <w:rPr>
          <w:rFonts w:ascii="Verdana" w:hAnsi="Verdana"/>
        </w:rPr>
        <w:t>P</w:t>
      </w:r>
      <w:r>
        <w:rPr>
          <w:rFonts w:ascii="Verdana" w:hAnsi="Verdana"/>
        </w:rPr>
        <w:t>rije isporuke (u skladu s</w:t>
      </w:r>
      <w:r w:rsidR="005E50D8">
        <w:rPr>
          <w:rFonts w:ascii="Verdana" w:hAnsi="Verdana"/>
        </w:rPr>
        <w:t xml:space="preserve"> FEDIOL-ovim</w:t>
      </w:r>
      <w:r>
        <w:rPr>
          <w:rFonts w:ascii="Verdana" w:hAnsi="Verdana"/>
        </w:rPr>
        <w:t xml:space="preserve"> sektorskim referentnim dokumentom)</w:t>
      </w:r>
      <w:r>
        <w:rPr>
          <w:rStyle w:val="FootnoteReference"/>
          <w:rFonts w:ascii="Verdana" w:hAnsi="Verdana"/>
        </w:rPr>
        <w:footnoteReference w:id="1"/>
      </w:r>
      <w:r>
        <w:rPr>
          <w:rFonts w:ascii="Verdana" w:hAnsi="Verdana"/>
        </w:rPr>
        <w:t xml:space="preserve"> </w:t>
      </w:r>
      <w:r w:rsidR="005E50D8">
        <w:rPr>
          <w:rFonts w:ascii="Verdana" w:hAnsi="Verdana"/>
        </w:rPr>
        <w:t xml:space="preserve">biljna se ulja </w:t>
      </w:r>
      <w:r>
        <w:rPr>
          <w:rFonts w:ascii="Verdana" w:hAnsi="Verdana"/>
        </w:rPr>
        <w:t>podvrg</w:t>
      </w:r>
      <w:r w:rsidR="005E50D8">
        <w:rPr>
          <w:rFonts w:ascii="Verdana" w:hAnsi="Verdana"/>
        </w:rPr>
        <w:t>avaju</w:t>
      </w:r>
      <w:r>
        <w:rPr>
          <w:rFonts w:ascii="Verdana" w:hAnsi="Verdana"/>
        </w:rPr>
        <w:t xml:space="preserve"> nizu koraka pročišćavanja kako bi se uklonile razne nečistoće, poput fosfatida, slobodnih masnih kiselina, voskova, tokoferola ili bojila, koje bi mogli sprječavati</w:t>
      </w:r>
      <w:r w:rsidR="0007619F">
        <w:rPr>
          <w:rFonts w:ascii="Verdana" w:hAnsi="Verdana"/>
        </w:rPr>
        <w:t xml:space="preserve"> </w:t>
      </w:r>
      <w:r>
        <w:rPr>
          <w:rFonts w:ascii="Verdana" w:hAnsi="Verdana"/>
        </w:rPr>
        <w:t>reakciju</w:t>
      </w:r>
      <w:r w:rsidR="0007619F">
        <w:rPr>
          <w:rFonts w:ascii="Verdana" w:hAnsi="Verdana"/>
        </w:rPr>
        <w:t xml:space="preserve"> </w:t>
      </w:r>
      <w:proofErr w:type="spellStart"/>
      <w:r w:rsidR="0007619F">
        <w:rPr>
          <w:rFonts w:ascii="Verdana" w:hAnsi="Verdana"/>
        </w:rPr>
        <w:t>biodizela</w:t>
      </w:r>
      <w:proofErr w:type="spellEnd"/>
      <w:r w:rsidR="0007619F">
        <w:rPr>
          <w:rFonts w:ascii="Verdana" w:hAnsi="Verdana"/>
        </w:rPr>
        <w:t xml:space="preserve"> tijekom proizvodnog procesa</w:t>
      </w:r>
      <w:r>
        <w:rPr>
          <w:rFonts w:ascii="Verdana" w:hAnsi="Verdana"/>
        </w:rPr>
        <w:t xml:space="preserve">. </w:t>
      </w:r>
    </w:p>
    <w:p w:rsidR="00E63462" w:rsidRDefault="00E63462" w:rsidP="00A246EB">
      <w:pPr>
        <w:jc w:val="both"/>
        <w:rPr>
          <w:rFonts w:ascii="Verdana" w:hAnsi="Verdana" w:cs="Tahoma"/>
          <w:szCs w:val="20"/>
        </w:rPr>
      </w:pPr>
    </w:p>
    <w:p w:rsidR="00E63462" w:rsidRPr="00300F3C" w:rsidRDefault="00E63462" w:rsidP="00E63462">
      <w:pPr>
        <w:jc w:val="both"/>
        <w:rPr>
          <w:rFonts w:ascii="Verdana" w:hAnsi="Verdana" w:cs="Tahoma"/>
          <w:szCs w:val="20"/>
        </w:rPr>
      </w:pPr>
      <w:r>
        <w:rPr>
          <w:rFonts w:ascii="Verdana" w:hAnsi="Verdana"/>
        </w:rPr>
        <w:t>Većina sirovina, ako ne i sve, podvrgnuta je nekom obliku predobrade u pogledu smanjenja nečistoća ili slobodnih masnih kiselina (FFA) prije nego ih se upotrijebi kao sirovine u proizvodnji biodizela.</w:t>
      </w:r>
    </w:p>
    <w:p w:rsidR="00A246EB" w:rsidRDefault="00A246EB" w:rsidP="00577B51">
      <w:pPr>
        <w:jc w:val="both"/>
        <w:rPr>
          <w:rFonts w:ascii="Verdana" w:hAnsi="Verdana" w:cs="Tahoma"/>
          <w:szCs w:val="20"/>
        </w:rPr>
      </w:pPr>
    </w:p>
    <w:p w:rsidR="003F6B44" w:rsidRDefault="004D7AD3" w:rsidP="00577B51">
      <w:pPr>
        <w:jc w:val="both"/>
        <w:rPr>
          <w:rFonts w:ascii="Verdana" w:hAnsi="Verdana" w:cs="Tahoma"/>
          <w:szCs w:val="20"/>
        </w:rPr>
      </w:pPr>
      <w:r>
        <w:rPr>
          <w:rFonts w:ascii="Verdana" w:hAnsi="Verdana"/>
        </w:rPr>
        <w:t xml:space="preserve">Po isporuci se djelomično rafinirana biljna ulja odvajaju u spremnike za prethodnu preradu. Ocjenjuju se sigurnost i kvaliteta ulaznog materijala. </w:t>
      </w:r>
    </w:p>
    <w:p w:rsidR="003F6B44" w:rsidRDefault="003F6B44" w:rsidP="00577B51">
      <w:pPr>
        <w:jc w:val="both"/>
        <w:rPr>
          <w:rFonts w:ascii="Verdana" w:hAnsi="Verdana" w:cs="Tahoma"/>
          <w:szCs w:val="20"/>
        </w:rPr>
      </w:pPr>
    </w:p>
    <w:p w:rsidR="00120930" w:rsidRPr="00300F3C" w:rsidRDefault="00BE6EF6" w:rsidP="00577B51">
      <w:pPr>
        <w:jc w:val="both"/>
        <w:rPr>
          <w:rFonts w:ascii="Verdana" w:hAnsi="Verdana" w:cs="Tahoma"/>
          <w:szCs w:val="20"/>
        </w:rPr>
      </w:pPr>
      <w:r>
        <w:rPr>
          <w:rFonts w:ascii="Verdana" w:hAnsi="Verdana"/>
        </w:rPr>
        <w:t>Sadržaj slobodnih masnih kiselina, vode i nesaponificirajućih tvari ključni su parametri u postizanju visoke učinkovitosti pretvaranja u transeterifikacijskoj reakciji. Rezultat</w:t>
      </w:r>
      <w:r w:rsidR="006742C7">
        <w:rPr>
          <w:rFonts w:ascii="Verdana" w:hAnsi="Verdana"/>
        </w:rPr>
        <w:t>i</w:t>
      </w:r>
      <w:r>
        <w:rPr>
          <w:rFonts w:ascii="Verdana" w:hAnsi="Verdana"/>
        </w:rPr>
        <w:t xml:space="preserve"> parametara</w:t>
      </w:r>
      <w:r w:rsidR="006742C7">
        <w:rPr>
          <w:rFonts w:ascii="Verdana" w:hAnsi="Verdana"/>
        </w:rPr>
        <w:t xml:space="preserve"> z</w:t>
      </w:r>
      <w:r w:rsidR="005E50D8">
        <w:rPr>
          <w:rFonts w:ascii="Verdana" w:hAnsi="Verdana"/>
        </w:rPr>
        <w:t xml:space="preserve">a ulja </w:t>
      </w:r>
      <w:r>
        <w:rPr>
          <w:rFonts w:ascii="Verdana" w:hAnsi="Verdana"/>
        </w:rPr>
        <w:t xml:space="preserve">utjecat će na količinu sirovina, omjer alkohola i katalizatora u transesterifikacijskoj reakciji. </w:t>
      </w:r>
    </w:p>
    <w:p w:rsidR="00BE3A6D" w:rsidRPr="00300F3C" w:rsidRDefault="00BE3A6D" w:rsidP="001D2477">
      <w:pPr>
        <w:autoSpaceDE w:val="0"/>
        <w:autoSpaceDN w:val="0"/>
        <w:adjustRightInd w:val="0"/>
        <w:jc w:val="both"/>
        <w:rPr>
          <w:rFonts w:ascii="Verdana" w:hAnsi="Verdana"/>
        </w:rPr>
      </w:pPr>
    </w:p>
    <w:p w:rsidR="003E62F2" w:rsidRPr="00300F3C" w:rsidRDefault="001D2477" w:rsidP="00DD7B4B">
      <w:pPr>
        <w:pStyle w:val="Heading2"/>
        <w:tabs>
          <w:tab w:val="clear" w:pos="709"/>
          <w:tab w:val="num" w:pos="697"/>
        </w:tabs>
        <w:rPr>
          <w:rFonts w:ascii="Verdana" w:hAnsi="Verdana"/>
        </w:rPr>
      </w:pPr>
      <w:bookmarkStart w:id="8" w:name="_Toc354998609"/>
      <w:bookmarkStart w:id="9" w:name="_Toc435620757"/>
      <w:r>
        <w:rPr>
          <w:rFonts w:ascii="Verdana" w:hAnsi="Verdana"/>
        </w:rPr>
        <w:t xml:space="preserve">Faza reakcije / </w:t>
      </w:r>
      <w:proofErr w:type="spellStart"/>
      <w:r w:rsidR="006742C7">
        <w:rPr>
          <w:rFonts w:ascii="Verdana" w:hAnsi="Verdana"/>
        </w:rPr>
        <w:t>t</w:t>
      </w:r>
      <w:r>
        <w:rPr>
          <w:rFonts w:ascii="Verdana" w:hAnsi="Verdana"/>
        </w:rPr>
        <w:t>ransesterifikacija</w:t>
      </w:r>
      <w:proofErr w:type="spellEnd"/>
      <w:r>
        <w:rPr>
          <w:rFonts w:ascii="Verdana" w:hAnsi="Verdana"/>
        </w:rPr>
        <w:t>:</w:t>
      </w:r>
      <w:bookmarkEnd w:id="8"/>
      <w:bookmarkEnd w:id="9"/>
      <w:r>
        <w:rPr>
          <w:rFonts w:ascii="Verdana" w:hAnsi="Verdana"/>
        </w:rPr>
        <w:t xml:space="preserve"> </w:t>
      </w:r>
    </w:p>
    <w:p w:rsidR="001D60DA" w:rsidRPr="00300F3C" w:rsidRDefault="001D60DA" w:rsidP="001D60DA">
      <w:pPr>
        <w:autoSpaceDE w:val="0"/>
        <w:autoSpaceDN w:val="0"/>
        <w:adjustRightInd w:val="0"/>
        <w:jc w:val="both"/>
        <w:rPr>
          <w:rFonts w:ascii="Verdana" w:hAnsi="Verdana" w:cs="Tahoma"/>
          <w:sz w:val="22"/>
          <w:szCs w:val="22"/>
        </w:rPr>
      </w:pPr>
    </w:p>
    <w:p w:rsidR="00DA6FF0" w:rsidRPr="00B25DCF" w:rsidRDefault="003E62F2" w:rsidP="00B444D8">
      <w:pPr>
        <w:autoSpaceDE w:val="0"/>
        <w:autoSpaceDN w:val="0"/>
        <w:adjustRightInd w:val="0"/>
        <w:jc w:val="both"/>
        <w:rPr>
          <w:rFonts w:ascii="Verdana" w:hAnsi="Verdana" w:cs="Tahoma"/>
          <w:szCs w:val="20"/>
        </w:rPr>
      </w:pPr>
      <w:r>
        <w:rPr>
          <w:rFonts w:ascii="Verdana" w:hAnsi="Verdana"/>
        </w:rPr>
        <w:t xml:space="preserve">Cilj je faze reakcije pretvoriti frakciju slobodnih masnih kiselina (FFA) sirovina u biodizel. Kada je sadržaj slobodnih masnih kiselina visok, faza reakcije obično se provodi u dva koraka: esterifikacija i transesterifikacija. </w:t>
      </w:r>
    </w:p>
    <w:p w:rsidR="00DA6FF0" w:rsidRPr="00B25DCF" w:rsidRDefault="00DA6FF0" w:rsidP="00B444D8">
      <w:pPr>
        <w:autoSpaceDE w:val="0"/>
        <w:autoSpaceDN w:val="0"/>
        <w:adjustRightInd w:val="0"/>
        <w:jc w:val="both"/>
        <w:rPr>
          <w:rFonts w:ascii="Verdana" w:hAnsi="Verdana" w:cs="Tahoma"/>
          <w:szCs w:val="20"/>
        </w:rPr>
      </w:pPr>
    </w:p>
    <w:p w:rsidR="00665768" w:rsidRDefault="00CB7710" w:rsidP="001D2477">
      <w:pPr>
        <w:autoSpaceDE w:val="0"/>
        <w:autoSpaceDN w:val="0"/>
        <w:adjustRightInd w:val="0"/>
        <w:jc w:val="both"/>
        <w:rPr>
          <w:rFonts w:ascii="Verdana" w:hAnsi="Verdana"/>
        </w:rPr>
      </w:pPr>
      <w:r>
        <w:rPr>
          <w:rFonts w:ascii="Verdana" w:hAnsi="Verdana"/>
        </w:rPr>
        <w:t xml:space="preserve">Nakon analize prethodne prerade ulaznog biljnog ulja, alkohol i katalizator miješaju se i šalju u reakcijsku posudu nakon čega se dodaje biljno ulje (slika 1. Dijagram toka). </w:t>
      </w:r>
      <w:r>
        <w:rPr>
          <w:rFonts w:ascii="Verdana" w:hAnsi="Verdana"/>
        </w:rPr>
        <w:lastRenderedPageBreak/>
        <w:t xml:space="preserve">Ta je faza poznata kao esterifikacija i korak je predobrade prije transesterifikacije kojom se smanjuje sadržaj slobodnih masnih kiselina u ulju. </w:t>
      </w:r>
    </w:p>
    <w:p w:rsidR="001D2477" w:rsidRDefault="001D2477" w:rsidP="001D2477">
      <w:pPr>
        <w:autoSpaceDE w:val="0"/>
        <w:autoSpaceDN w:val="0"/>
        <w:adjustRightInd w:val="0"/>
        <w:jc w:val="both"/>
        <w:rPr>
          <w:rFonts w:ascii="Verdana" w:hAnsi="Verdana"/>
        </w:rPr>
      </w:pPr>
      <w:r>
        <w:rPr>
          <w:rFonts w:ascii="Verdana" w:hAnsi="Verdana"/>
        </w:rPr>
        <w:t xml:space="preserve">Cjelokupni se postupak </w:t>
      </w:r>
      <w:proofErr w:type="spellStart"/>
      <w:r>
        <w:rPr>
          <w:rFonts w:ascii="Verdana" w:hAnsi="Verdana"/>
        </w:rPr>
        <w:t>transesterifikacije</w:t>
      </w:r>
      <w:proofErr w:type="spellEnd"/>
      <w:r>
        <w:rPr>
          <w:rFonts w:ascii="Verdana" w:hAnsi="Verdana"/>
        </w:rPr>
        <w:t xml:space="preserve"> </w:t>
      </w:r>
      <w:r w:rsidR="00CD0667">
        <w:rPr>
          <w:rFonts w:ascii="Verdana" w:hAnsi="Verdana"/>
        </w:rPr>
        <w:t>odvija izolirano od zraka</w:t>
      </w:r>
      <w:r>
        <w:rPr>
          <w:rFonts w:ascii="Verdana" w:hAnsi="Verdana"/>
        </w:rPr>
        <w:t xml:space="preserve"> kako bi se spriječio gubitak alkohola. Obično se višak alkohola upotrebljava kako bi se osiguralo potpuno pretvaranje ulja u vlastite estere. </w:t>
      </w:r>
    </w:p>
    <w:p w:rsidR="005A6305" w:rsidRPr="00E016F1" w:rsidRDefault="005A6305" w:rsidP="009A2CDE">
      <w:pPr>
        <w:jc w:val="both"/>
        <w:rPr>
          <w:rFonts w:ascii="Verdana" w:hAnsi="Verdana" w:cs="Tahoma"/>
          <w:szCs w:val="20"/>
        </w:rPr>
      </w:pPr>
    </w:p>
    <w:p w:rsidR="00436063" w:rsidRPr="00300F3C" w:rsidRDefault="005A6305" w:rsidP="00DD7B4B">
      <w:pPr>
        <w:pStyle w:val="Heading2"/>
        <w:tabs>
          <w:tab w:val="clear" w:pos="709"/>
          <w:tab w:val="num" w:pos="697"/>
        </w:tabs>
        <w:rPr>
          <w:rFonts w:ascii="Verdana" w:hAnsi="Verdana"/>
        </w:rPr>
      </w:pPr>
      <w:bookmarkStart w:id="10" w:name="_Toc354998610"/>
      <w:bookmarkStart w:id="11" w:name="_Toc435620758"/>
      <w:r>
        <w:rPr>
          <w:rFonts w:ascii="Verdana" w:hAnsi="Verdana"/>
        </w:rPr>
        <w:t>Faza odvajanja</w:t>
      </w:r>
      <w:bookmarkEnd w:id="10"/>
      <w:bookmarkEnd w:id="11"/>
    </w:p>
    <w:p w:rsidR="00436063" w:rsidRPr="00300F3C" w:rsidRDefault="00436063" w:rsidP="005A6305">
      <w:pPr>
        <w:autoSpaceDE w:val="0"/>
        <w:autoSpaceDN w:val="0"/>
        <w:adjustRightInd w:val="0"/>
        <w:jc w:val="both"/>
        <w:rPr>
          <w:rFonts w:ascii="Verdana" w:hAnsi="Verdana"/>
          <w:i/>
          <w:iCs/>
        </w:rPr>
      </w:pPr>
    </w:p>
    <w:p w:rsidR="005A6305" w:rsidRPr="00300F3C" w:rsidRDefault="005A6305" w:rsidP="005A6305">
      <w:pPr>
        <w:autoSpaceDE w:val="0"/>
        <w:autoSpaceDN w:val="0"/>
        <w:adjustRightInd w:val="0"/>
        <w:jc w:val="both"/>
        <w:rPr>
          <w:rFonts w:ascii="Verdana" w:hAnsi="Verdana"/>
        </w:rPr>
      </w:pPr>
      <w:r>
        <w:rPr>
          <w:rFonts w:ascii="Verdana" w:hAnsi="Verdana"/>
        </w:rPr>
        <w:t xml:space="preserve">Po završetku reakcije postoje dva glavna proizvoda: glicerin i biodizel. Svaki od njih ima znatnu količinu viška metanola koji </w:t>
      </w:r>
      <w:r w:rsidR="00B17D85">
        <w:rPr>
          <w:rFonts w:ascii="Verdana" w:hAnsi="Verdana"/>
        </w:rPr>
        <w:t>je upotrijebljen</w:t>
      </w:r>
      <w:r>
        <w:rPr>
          <w:rFonts w:ascii="Verdana" w:hAnsi="Verdana"/>
        </w:rPr>
        <w:t xml:space="preserve"> u reakciji. Mješavina koja je nastala reakcijom u ovoj se fazi neutralizira ako je potrebno. Glicerinska faza mnogo je gušća od faze</w:t>
      </w:r>
      <w:r w:rsidR="00DB2C91">
        <w:rPr>
          <w:rFonts w:ascii="Verdana" w:hAnsi="Verdana"/>
        </w:rPr>
        <w:t xml:space="preserve"> </w:t>
      </w:r>
      <w:proofErr w:type="spellStart"/>
      <w:r w:rsidR="00DB2C91">
        <w:rPr>
          <w:rFonts w:ascii="Verdana" w:hAnsi="Verdana"/>
        </w:rPr>
        <w:t>biodizela</w:t>
      </w:r>
      <w:proofErr w:type="spellEnd"/>
      <w:r>
        <w:rPr>
          <w:rFonts w:ascii="Verdana" w:hAnsi="Verdana"/>
        </w:rPr>
        <w:t xml:space="preserve"> i obje se mogu taloženjem odvojiti tako da se glicerin jednostavno izdvoji s dna taložnika. U nekim se slučajevima upotrebljava centrifuga kako bi se ta dva materijala brže odvojila.</w:t>
      </w:r>
    </w:p>
    <w:p w:rsidR="008F2137" w:rsidRPr="00300F3C" w:rsidRDefault="008F2137" w:rsidP="005A6305">
      <w:pPr>
        <w:autoSpaceDE w:val="0"/>
        <w:autoSpaceDN w:val="0"/>
        <w:adjustRightInd w:val="0"/>
        <w:jc w:val="both"/>
        <w:rPr>
          <w:rFonts w:ascii="Verdana" w:hAnsi="Verdana"/>
        </w:rPr>
      </w:pPr>
    </w:p>
    <w:p w:rsidR="008F2137" w:rsidRPr="00300F3C" w:rsidRDefault="008F2137" w:rsidP="00DD7B4B">
      <w:pPr>
        <w:pStyle w:val="Heading2"/>
        <w:tabs>
          <w:tab w:val="clear" w:pos="709"/>
          <w:tab w:val="num" w:pos="697"/>
        </w:tabs>
        <w:rPr>
          <w:rFonts w:ascii="Verdana" w:hAnsi="Verdana"/>
        </w:rPr>
      </w:pPr>
      <w:bookmarkStart w:id="12" w:name="_Toc354998611"/>
      <w:bookmarkStart w:id="13" w:name="_Toc435620759"/>
      <w:r>
        <w:rPr>
          <w:rFonts w:ascii="Verdana" w:hAnsi="Verdana"/>
        </w:rPr>
        <w:t>Zakiseljavanje i odvajanje slobodnih masnih kiselina</w:t>
      </w:r>
      <w:bookmarkEnd w:id="12"/>
      <w:bookmarkEnd w:id="13"/>
    </w:p>
    <w:p w:rsidR="00436063" w:rsidRPr="00300F3C" w:rsidRDefault="00436063" w:rsidP="005A6305">
      <w:pPr>
        <w:autoSpaceDE w:val="0"/>
        <w:autoSpaceDN w:val="0"/>
        <w:adjustRightInd w:val="0"/>
        <w:jc w:val="both"/>
        <w:rPr>
          <w:rFonts w:ascii="Verdana" w:hAnsi="Verdana"/>
          <w:u w:val="single"/>
        </w:rPr>
      </w:pPr>
    </w:p>
    <w:p w:rsidR="00725858" w:rsidRDefault="00436063" w:rsidP="005A6305">
      <w:pPr>
        <w:autoSpaceDE w:val="0"/>
        <w:autoSpaceDN w:val="0"/>
        <w:adjustRightInd w:val="0"/>
        <w:jc w:val="both"/>
        <w:rPr>
          <w:rFonts w:ascii="Verdana" w:hAnsi="Verdana"/>
        </w:rPr>
      </w:pPr>
      <w:r>
        <w:rPr>
          <w:rFonts w:ascii="Verdana" w:hAnsi="Verdana"/>
        </w:rPr>
        <w:t xml:space="preserve">Glicerin se obično nakon separatora sastoji od 50 % glicerina, 40 % metanola te 10 % sapuna i katalizatora. Katalizator se neutralizira a sapuni se cijepaju na masne kiseline i soli. Slobodne masne kiseline i metanol uklanjaju se i oporabljuju. </w:t>
      </w:r>
    </w:p>
    <w:p w:rsidR="00815334" w:rsidRPr="00300F3C" w:rsidRDefault="00815334" w:rsidP="005A6305">
      <w:pPr>
        <w:autoSpaceDE w:val="0"/>
        <w:autoSpaceDN w:val="0"/>
        <w:adjustRightInd w:val="0"/>
        <w:jc w:val="both"/>
        <w:rPr>
          <w:rFonts w:ascii="Verdana" w:hAnsi="Verdana"/>
          <w:bCs/>
          <w:u w:val="single"/>
        </w:rPr>
      </w:pPr>
    </w:p>
    <w:p w:rsidR="003E62F2" w:rsidRPr="00300F3C" w:rsidRDefault="005A6305" w:rsidP="00DD7B4B">
      <w:pPr>
        <w:pStyle w:val="Heading2"/>
        <w:tabs>
          <w:tab w:val="clear" w:pos="709"/>
          <w:tab w:val="num" w:pos="697"/>
        </w:tabs>
        <w:rPr>
          <w:rFonts w:ascii="Verdana" w:hAnsi="Verdana"/>
          <w:i/>
        </w:rPr>
      </w:pPr>
      <w:bookmarkStart w:id="14" w:name="_Toc354998612"/>
      <w:bookmarkStart w:id="15" w:name="_Toc435620760"/>
      <w:r>
        <w:rPr>
          <w:rFonts w:ascii="Verdana" w:hAnsi="Verdana"/>
        </w:rPr>
        <w:t>Neutralizacija glicerina</w:t>
      </w:r>
      <w:bookmarkEnd w:id="14"/>
      <w:bookmarkEnd w:id="15"/>
      <w:r>
        <w:rPr>
          <w:rFonts w:ascii="Verdana" w:hAnsi="Verdana"/>
        </w:rPr>
        <w:t xml:space="preserve"> </w:t>
      </w:r>
    </w:p>
    <w:p w:rsidR="003E62F2" w:rsidRPr="00300F3C" w:rsidRDefault="003E62F2" w:rsidP="005A6305">
      <w:pPr>
        <w:autoSpaceDE w:val="0"/>
        <w:autoSpaceDN w:val="0"/>
        <w:adjustRightInd w:val="0"/>
        <w:jc w:val="both"/>
        <w:rPr>
          <w:rFonts w:ascii="Verdana" w:hAnsi="Verdana"/>
          <w:i/>
          <w:iCs/>
        </w:rPr>
      </w:pPr>
    </w:p>
    <w:p w:rsidR="005A6305" w:rsidRPr="00815334" w:rsidRDefault="005A6305" w:rsidP="005A6305">
      <w:pPr>
        <w:autoSpaceDE w:val="0"/>
        <w:autoSpaceDN w:val="0"/>
        <w:adjustRightInd w:val="0"/>
        <w:jc w:val="both"/>
        <w:rPr>
          <w:rFonts w:ascii="Verdana" w:hAnsi="Verdana"/>
        </w:rPr>
      </w:pPr>
      <w:r>
        <w:rPr>
          <w:rFonts w:ascii="Verdana" w:hAnsi="Verdana"/>
        </w:rPr>
        <w:t xml:space="preserve">Nusproizvod glicerina sadržava neiskorišteni katalizator i sapune koji se neutraliziraju kiselinom i šalju na skladištenje kao sirovi glicerin. U                                                                                                                                                                                                                                                                                                                                                                                                                                                                                                                                                                                                                                                                                                                                                                                                                                                                                                                                                                                                                                                                                                                                                                                                                                                                                                                                                                                                                                                                                                                                                                                                                                                                                                                                                                                                                                                                                                                                                                                                                                                                                                                                                                                                                                                                                                                                                                                                                                                                                                                                                                                                                                                                                                                                                                                                                                                                                                                                                                                                                                                                                                                                                                                                                                                                                                                                                                                                                                                                                                                                              nekim se slučajevima sol dobivena tijekom ove faze oporabljuje za upotrebu kao gnojivo. U većini slučajeva sol ostaje u glicerinu. Voda i alkohol uklanjaju se kako bi se dobio otprilike 80 % čisti glicerin koji je spreman za prodaju kao sirovi neutralizirani glicerin. </w:t>
      </w:r>
    </w:p>
    <w:p w:rsidR="00815334" w:rsidRPr="002153BA" w:rsidRDefault="00815334" w:rsidP="005A6305">
      <w:pPr>
        <w:autoSpaceDE w:val="0"/>
        <w:autoSpaceDN w:val="0"/>
        <w:adjustRightInd w:val="0"/>
        <w:jc w:val="both"/>
        <w:rPr>
          <w:rFonts w:ascii="Verdana" w:hAnsi="Verdana"/>
        </w:rPr>
      </w:pPr>
    </w:p>
    <w:p w:rsidR="00815334" w:rsidRPr="00300F3C" w:rsidRDefault="00DA6FF0" w:rsidP="005A6305">
      <w:pPr>
        <w:autoSpaceDE w:val="0"/>
        <w:autoSpaceDN w:val="0"/>
        <w:adjustRightInd w:val="0"/>
        <w:jc w:val="both"/>
        <w:rPr>
          <w:rFonts w:ascii="Verdana" w:hAnsi="Verdana"/>
        </w:rPr>
      </w:pPr>
      <w:r>
        <w:rPr>
          <w:rFonts w:ascii="Verdana" w:hAnsi="Verdana"/>
        </w:rPr>
        <w:t>Rafinirani glicerin: sirovi se glicerin u nekim slučajevima može dodatno rafinirati do farmaceutske ili tehničke kvalitete ili kvalitete za hranu za životinje uklanjanjem vode i soli destilacijom.</w:t>
      </w:r>
    </w:p>
    <w:p w:rsidR="005A6305" w:rsidRPr="00300F3C" w:rsidRDefault="005A6305" w:rsidP="005A6305">
      <w:pPr>
        <w:autoSpaceDE w:val="0"/>
        <w:autoSpaceDN w:val="0"/>
        <w:adjustRightInd w:val="0"/>
        <w:jc w:val="both"/>
        <w:rPr>
          <w:rFonts w:ascii="Verdana" w:hAnsi="Verdana"/>
        </w:rPr>
      </w:pPr>
    </w:p>
    <w:p w:rsidR="00F8756D" w:rsidRPr="00392641" w:rsidRDefault="005A6305" w:rsidP="00DD7B4B">
      <w:pPr>
        <w:pStyle w:val="Heading2"/>
        <w:tabs>
          <w:tab w:val="clear" w:pos="709"/>
          <w:tab w:val="num" w:pos="697"/>
        </w:tabs>
        <w:rPr>
          <w:rFonts w:ascii="Verdana" w:hAnsi="Verdana"/>
        </w:rPr>
      </w:pPr>
      <w:bookmarkStart w:id="16" w:name="_Toc354998613"/>
      <w:bookmarkStart w:id="17" w:name="_Toc435620761"/>
      <w:r>
        <w:rPr>
          <w:rFonts w:ascii="Verdana" w:hAnsi="Verdana"/>
        </w:rPr>
        <w:t>Pranje metilnih estera</w:t>
      </w:r>
      <w:bookmarkEnd w:id="16"/>
      <w:bookmarkEnd w:id="17"/>
    </w:p>
    <w:p w:rsidR="00F8756D" w:rsidRPr="00300F3C" w:rsidRDefault="00F8756D" w:rsidP="005A6305">
      <w:pPr>
        <w:autoSpaceDE w:val="0"/>
        <w:autoSpaceDN w:val="0"/>
        <w:adjustRightInd w:val="0"/>
        <w:jc w:val="both"/>
        <w:rPr>
          <w:rFonts w:ascii="Verdana" w:hAnsi="Verdana"/>
        </w:rPr>
      </w:pPr>
    </w:p>
    <w:p w:rsidR="00CF3131" w:rsidRDefault="005A6305" w:rsidP="005A6305">
      <w:pPr>
        <w:autoSpaceDE w:val="0"/>
        <w:autoSpaceDN w:val="0"/>
        <w:adjustRightInd w:val="0"/>
        <w:jc w:val="both"/>
        <w:rPr>
          <w:rFonts w:ascii="Verdana" w:hAnsi="Verdana"/>
        </w:rPr>
      </w:pPr>
      <w:r>
        <w:rPr>
          <w:rFonts w:ascii="Verdana" w:hAnsi="Verdana"/>
        </w:rPr>
        <w:t xml:space="preserve">Nakon što se odvoji od glicerina biodizel se ponekad pročišćava laganim pranjem toplom vodom kako bi se uklonili ostaci katalizatora ili sapuna, suši te šalje na skladištenje. U nekim je postupcima taj korak nepotreban. U nekim se sustavima biodizel destilira. Ovaj korak nije obvezan, a njime se povećava čistoća biodizela. </w:t>
      </w:r>
    </w:p>
    <w:p w:rsidR="00D562AC" w:rsidRPr="00300F3C" w:rsidRDefault="00D562AC"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18" w:name="_Toc354998614"/>
      <w:bookmarkStart w:id="19" w:name="_Toc435620762"/>
      <w:r>
        <w:rPr>
          <w:rFonts w:ascii="Verdana" w:hAnsi="Verdana"/>
        </w:rPr>
        <w:t>Skladištenje</w:t>
      </w:r>
      <w:bookmarkEnd w:id="18"/>
      <w:bookmarkEnd w:id="19"/>
    </w:p>
    <w:p w:rsidR="00CF3131" w:rsidRPr="00300F3C" w:rsidRDefault="00CF3131" w:rsidP="005A6305">
      <w:pPr>
        <w:autoSpaceDE w:val="0"/>
        <w:autoSpaceDN w:val="0"/>
        <w:adjustRightInd w:val="0"/>
        <w:jc w:val="both"/>
        <w:rPr>
          <w:rFonts w:ascii="Verdana" w:hAnsi="Verdana"/>
        </w:rPr>
      </w:pPr>
    </w:p>
    <w:p w:rsidR="00F8756D" w:rsidRPr="00300F3C" w:rsidRDefault="00F8756D" w:rsidP="005A6305">
      <w:pPr>
        <w:autoSpaceDE w:val="0"/>
        <w:autoSpaceDN w:val="0"/>
        <w:adjustRightInd w:val="0"/>
        <w:jc w:val="both"/>
        <w:rPr>
          <w:rFonts w:ascii="Verdana" w:hAnsi="Verdana"/>
        </w:rPr>
      </w:pPr>
      <w:r>
        <w:rPr>
          <w:rFonts w:ascii="Verdana" w:hAnsi="Verdana"/>
        </w:rPr>
        <w:t>Glicerin se skladišti u odgovarajućim spremnicima.</w:t>
      </w:r>
    </w:p>
    <w:p w:rsidR="00F8756D" w:rsidRPr="00300F3C" w:rsidRDefault="00F8756D"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20" w:name="_Toc354998615"/>
      <w:bookmarkStart w:id="21" w:name="_Toc435620763"/>
      <w:r>
        <w:rPr>
          <w:rFonts w:ascii="Verdana" w:hAnsi="Verdana"/>
        </w:rPr>
        <w:t>Prijevoz</w:t>
      </w:r>
      <w:bookmarkEnd w:id="20"/>
      <w:bookmarkEnd w:id="21"/>
    </w:p>
    <w:p w:rsidR="00490C74" w:rsidRPr="00300F3C" w:rsidRDefault="00490C74" w:rsidP="00F8756D">
      <w:pPr>
        <w:autoSpaceDE w:val="0"/>
        <w:autoSpaceDN w:val="0"/>
        <w:adjustRightInd w:val="0"/>
        <w:jc w:val="both"/>
        <w:rPr>
          <w:rFonts w:ascii="Verdana" w:hAnsi="Verdana" w:cs="Tahoma"/>
          <w:szCs w:val="20"/>
        </w:rPr>
      </w:pPr>
    </w:p>
    <w:p w:rsidR="00B87D01" w:rsidRPr="00B87D01" w:rsidRDefault="00490C74" w:rsidP="00B87D01">
      <w:pPr>
        <w:autoSpaceDE w:val="0"/>
        <w:autoSpaceDN w:val="0"/>
        <w:adjustRightInd w:val="0"/>
        <w:jc w:val="both"/>
        <w:rPr>
          <w:rFonts w:ascii="Verdana" w:hAnsi="Verdana" w:cs="Tahoma"/>
          <w:b/>
          <w:color w:val="4F81BD"/>
          <w:szCs w:val="20"/>
        </w:rPr>
      </w:pPr>
      <w:r>
        <w:rPr>
          <w:rFonts w:ascii="Verdana" w:hAnsi="Verdana"/>
        </w:rPr>
        <w:t>Za prerađene suproizvode glicerina potreban je prijevoz. Prijevoz suproizvoda mora biti u skladu s nacionalnim propisima i propisima EU-a, postojećim prijevoznim oznakama, zahtjevima kupaca i zahtjevima oznake „Sektorski referentni dokument o proizvodnji sigurnih krmiva preradom</w:t>
      </w:r>
      <w:r w:rsidR="008A1D22">
        <w:rPr>
          <w:rFonts w:ascii="Verdana" w:hAnsi="Verdana"/>
        </w:rPr>
        <w:t xml:space="preserve"> </w:t>
      </w:r>
      <w:proofErr w:type="spellStart"/>
      <w:r w:rsidR="008A1D22">
        <w:rPr>
          <w:rFonts w:ascii="Verdana" w:hAnsi="Verdana"/>
        </w:rPr>
        <w:t>biodizela</w:t>
      </w:r>
      <w:proofErr w:type="spellEnd"/>
      <w:r>
        <w:rPr>
          <w:rFonts w:ascii="Verdana" w:hAnsi="Verdana"/>
        </w:rPr>
        <w:t>”.</w:t>
      </w:r>
      <w:r>
        <w:rPr>
          <w:rFonts w:ascii="Verdana" w:hAnsi="Verdana"/>
          <w:b/>
        </w:rPr>
        <w:t xml:space="preserve"> </w:t>
      </w:r>
    </w:p>
    <w:p w:rsidR="008F2137" w:rsidRPr="00300F3C" w:rsidRDefault="008F2137" w:rsidP="00DD7B4B">
      <w:pPr>
        <w:pStyle w:val="Heading1"/>
        <w:numPr>
          <w:ilvl w:val="0"/>
          <w:numId w:val="28"/>
        </w:numPr>
        <w:tabs>
          <w:tab w:val="clear" w:pos="432"/>
          <w:tab w:val="num" w:pos="420"/>
        </w:tabs>
        <w:rPr>
          <w:rFonts w:ascii="Verdana" w:hAnsi="Verdana"/>
        </w:rPr>
      </w:pPr>
      <w:bookmarkStart w:id="22" w:name="_Toc354998616"/>
      <w:bookmarkStart w:id="23" w:name="_Toc435620764"/>
      <w:r>
        <w:rPr>
          <w:rFonts w:ascii="Verdana" w:hAnsi="Verdana"/>
        </w:rPr>
        <w:t xml:space="preserve">Dijagram toka procesa </w:t>
      </w:r>
      <w:r w:rsidR="00DF25E8">
        <w:rPr>
          <w:rFonts w:ascii="Verdana" w:hAnsi="Verdana"/>
        </w:rPr>
        <w:t xml:space="preserve">proizvodnje </w:t>
      </w:r>
      <w:proofErr w:type="spellStart"/>
      <w:r>
        <w:rPr>
          <w:rFonts w:ascii="Verdana" w:hAnsi="Verdana"/>
        </w:rPr>
        <w:t>biodizela</w:t>
      </w:r>
      <w:bookmarkEnd w:id="22"/>
      <w:bookmarkEnd w:id="23"/>
      <w:proofErr w:type="spellEnd"/>
    </w:p>
    <w:p w:rsidR="008F2137" w:rsidRPr="00300F3C" w:rsidRDefault="008F2137" w:rsidP="008F2137">
      <w:pPr>
        <w:jc w:val="both"/>
        <w:rPr>
          <w:rFonts w:ascii="Verdana" w:hAnsi="Verdana" w:cs="Tahoma"/>
        </w:rPr>
      </w:pPr>
    </w:p>
    <w:p w:rsidR="00453723" w:rsidRDefault="00545727" w:rsidP="00453723">
      <w:pPr>
        <w:jc w:val="both"/>
        <w:rPr>
          <w:rFonts w:ascii="Verdana" w:hAnsi="Verdana" w:cs="Tahoma"/>
        </w:rPr>
      </w:pPr>
      <w:r>
        <w:rPr>
          <w:rFonts w:ascii="Verdana" w:hAnsi="Verdana"/>
        </w:rPr>
        <w:lastRenderedPageBreak/>
        <w:t>Ovim se dijagramom opisuje vrlo općeniti postupak prerade biodizela</w:t>
      </w:r>
    </w:p>
    <w:p w:rsidR="007B1792" w:rsidRDefault="007B1792" w:rsidP="00453723">
      <w:pPr>
        <w:jc w:val="both"/>
        <w:rPr>
          <w:rFonts w:ascii="Verdana" w:hAnsi="Verdana" w:cs="Tahoma"/>
        </w:rPr>
      </w:pPr>
    </w:p>
    <w:p w:rsidR="007B1792" w:rsidRPr="00300F3C" w:rsidRDefault="007B1792" w:rsidP="00453723">
      <w:pPr>
        <w:jc w:val="both"/>
        <w:rPr>
          <w:rFonts w:ascii="Verdana" w:hAnsi="Verdana" w:cs="Tahoma"/>
        </w:rPr>
      </w:pPr>
    </w:p>
    <w:p w:rsidR="009E27A2" w:rsidRPr="00300F3C" w:rsidRDefault="00F1199F" w:rsidP="007B1792">
      <w:pPr>
        <w:tabs>
          <w:tab w:val="left" w:pos="7980"/>
        </w:tabs>
        <w:ind w:hanging="567"/>
        <w:jc w:val="both"/>
        <w:rPr>
          <w:rFonts w:ascii="Verdana" w:hAnsi="Verdana" w:cs="Tahoma"/>
          <w:szCs w:val="20"/>
        </w:rPr>
      </w:pPr>
      <w:r w:rsidRPr="00F1199F">
        <w:rPr>
          <w:noProof/>
          <w:lang w:val="en-GB" w:eastAsia="en-GB" w:bidi="ar-SA"/>
        </w:rPr>
        <w:drawing>
          <wp:inline distT="0" distB="0" distL="0" distR="0" wp14:anchorId="1B067793" wp14:editId="622600AA">
            <wp:extent cx="5612130" cy="413227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4132274"/>
                    </a:xfrm>
                    <a:prstGeom prst="rect">
                      <a:avLst/>
                    </a:prstGeom>
                    <a:noFill/>
                    <a:ln>
                      <a:noFill/>
                    </a:ln>
                  </pic:spPr>
                </pic:pic>
              </a:graphicData>
            </a:graphic>
          </wp:inline>
        </w:drawing>
      </w:r>
    </w:p>
    <w:p w:rsidR="00BF3FB9" w:rsidRPr="00300F3C" w:rsidRDefault="00BF3FB9" w:rsidP="009E27A2">
      <w:pPr>
        <w:tabs>
          <w:tab w:val="left" w:pos="7980"/>
        </w:tabs>
        <w:jc w:val="both"/>
        <w:rPr>
          <w:rFonts w:ascii="Verdana" w:hAnsi="Verdana" w:cs="Tahoma"/>
          <w:szCs w:val="20"/>
        </w:rPr>
      </w:pPr>
    </w:p>
    <w:p w:rsidR="00BF3FB9" w:rsidRPr="00300F3C" w:rsidRDefault="00BF3FB9" w:rsidP="007B1792">
      <w:pPr>
        <w:tabs>
          <w:tab w:val="left" w:pos="7980"/>
        </w:tabs>
        <w:jc w:val="center"/>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133433" w:rsidRDefault="00133433">
      <w:pPr>
        <w:rPr>
          <w:rFonts w:ascii="Verdana" w:hAnsi="Verdana" w:cs="Tahoma"/>
          <w:szCs w:val="20"/>
        </w:rPr>
      </w:pPr>
      <w:r>
        <w:br w:type="page"/>
      </w:r>
    </w:p>
    <w:p w:rsidR="002C35C6" w:rsidRPr="00300F3C" w:rsidRDefault="00FE1541" w:rsidP="002C35C6">
      <w:pPr>
        <w:pStyle w:val="Heading1"/>
        <w:jc w:val="both"/>
        <w:rPr>
          <w:rFonts w:ascii="Verdana" w:hAnsi="Verdana" w:cs="Tahoma"/>
        </w:rPr>
      </w:pPr>
      <w:bookmarkStart w:id="24" w:name="_Toc354998617"/>
      <w:bookmarkStart w:id="25" w:name="_Toc435620765"/>
      <w:r>
        <w:rPr>
          <w:rFonts w:ascii="Verdana" w:hAnsi="Verdana"/>
        </w:rPr>
        <w:lastRenderedPageBreak/>
        <w:t>Procjena rizika</w:t>
      </w:r>
      <w:bookmarkEnd w:id="24"/>
      <w:bookmarkEnd w:id="25"/>
      <w:r>
        <w:rPr>
          <w:rFonts w:ascii="Verdana" w:hAnsi="Verdana"/>
        </w:rPr>
        <w:t xml:space="preserve"> </w:t>
      </w:r>
    </w:p>
    <w:p w:rsidR="002E52C2" w:rsidRPr="00E016F1" w:rsidRDefault="002E52C2" w:rsidP="002E52C2">
      <w:pPr>
        <w:rPr>
          <w:rFonts w:ascii="Verdana" w:hAnsi="Verdana"/>
        </w:rPr>
      </w:pPr>
    </w:p>
    <w:p w:rsidR="00B631D4" w:rsidRPr="00300F3C" w:rsidRDefault="00CC0085" w:rsidP="00DD7B4B">
      <w:pPr>
        <w:pStyle w:val="Heading2"/>
        <w:tabs>
          <w:tab w:val="clear" w:pos="709"/>
          <w:tab w:val="num" w:pos="697"/>
        </w:tabs>
        <w:rPr>
          <w:rFonts w:ascii="Verdana" w:hAnsi="Verdana"/>
        </w:rPr>
      </w:pPr>
      <w:bookmarkStart w:id="26" w:name="_Toc354998618"/>
      <w:bookmarkStart w:id="27" w:name="_Toc435620766"/>
      <w:r>
        <w:rPr>
          <w:rFonts w:ascii="Verdana" w:hAnsi="Verdana"/>
        </w:rPr>
        <w:t>EBB zahtijeva procjenu rizika lanca sigurnosti hrane za sljedeće ulazne materijale</w:t>
      </w:r>
      <w:bookmarkEnd w:id="26"/>
      <w:bookmarkEnd w:id="27"/>
    </w:p>
    <w:p w:rsidR="00D10ECC" w:rsidRPr="00300F3C" w:rsidRDefault="00D10ECC" w:rsidP="00D10ECC">
      <w:pPr>
        <w:rPr>
          <w:rFonts w:ascii="Verdana" w:hAnsi="Verdana"/>
        </w:rPr>
      </w:pPr>
    </w:p>
    <w:p w:rsidR="00CC0085" w:rsidRPr="00300F3C" w:rsidRDefault="0044051E" w:rsidP="0044051E">
      <w:pPr>
        <w:rPr>
          <w:rFonts w:ascii="Verdana" w:hAnsi="Verdana"/>
        </w:rPr>
      </w:pPr>
      <w:r>
        <w:rPr>
          <w:rFonts w:ascii="Verdana" w:hAnsi="Verdana"/>
        </w:rPr>
        <w:t xml:space="preserve">Sirovina: biljna ulja </w:t>
      </w:r>
    </w:p>
    <w:p w:rsidR="00CB1F06" w:rsidRPr="00300F3C" w:rsidRDefault="00DD7B4B" w:rsidP="00DD7B4B">
      <w:pPr>
        <w:pStyle w:val="NormalWeb"/>
        <w:jc w:val="both"/>
        <w:rPr>
          <w:rFonts w:ascii="Verdana" w:hAnsi="Verdana"/>
          <w:color w:val="auto"/>
        </w:rPr>
      </w:pPr>
      <w:r>
        <w:rPr>
          <w:rFonts w:ascii="Verdana" w:hAnsi="Verdana"/>
          <w:color w:val="auto"/>
        </w:rPr>
        <w:t xml:space="preserve">U svim se slučajevima od postrojenja za proizvodnju biodizela očekuje da budu u skladu sa zahtjevima koji se odnose na procjenu rizika. Tablica s opasnostima nalazi se u </w:t>
      </w:r>
      <w:hyperlink r:id="rId19" w:history="1">
        <w:r>
          <w:rPr>
            <w:rStyle w:val="Hyperlink"/>
            <w:rFonts w:ascii="Verdana" w:hAnsi="Verdana"/>
            <w:color w:val="auto"/>
            <w:u w:val="none"/>
          </w:rPr>
          <w:t>Dodatku 1</w:t>
        </w:r>
      </w:hyperlink>
      <w:r>
        <w:rPr>
          <w:rFonts w:ascii="Verdana" w:hAnsi="Verdana"/>
          <w:color w:val="auto"/>
        </w:rPr>
        <w:t xml:space="preserve">, no treba napomenuti da popis </w:t>
      </w:r>
      <w:r>
        <w:rPr>
          <w:rStyle w:val="Strong"/>
          <w:rFonts w:ascii="Verdana" w:hAnsi="Verdana"/>
          <w:b w:val="0"/>
          <w:color w:val="auto"/>
        </w:rPr>
        <w:t>nije</w:t>
      </w:r>
      <w:r>
        <w:rPr>
          <w:rFonts w:ascii="Verdana" w:hAnsi="Verdana"/>
          <w:color w:val="auto"/>
        </w:rPr>
        <w:t xml:space="preserve"> potpun te bi subjekti trebali provesti vlastite procjene rizika. Dodatne informacije o posebnim opasnostima i kontrolnim mjerama nalaze se u odgovarajućim publikacijama Uprave za zdravstvene usluge (HSE) i uredbama EZ-a u tablicama za procjenu rizika.</w:t>
      </w:r>
    </w:p>
    <w:p w:rsidR="00E016F1" w:rsidRPr="007C09D3" w:rsidRDefault="00E016F1" w:rsidP="00E0569C">
      <w:pPr>
        <w:pStyle w:val="Heading2"/>
      </w:pPr>
      <w:bookmarkStart w:id="28" w:name="Summery_risk_approach"/>
      <w:bookmarkStart w:id="29" w:name="_Toc354998619"/>
      <w:bookmarkStart w:id="30" w:name="_Toc435620767"/>
      <w:r>
        <w:t>Sažetak pristupa temeljenog na riziku za sektor biodizela</w:t>
      </w:r>
      <w:bookmarkEnd w:id="28"/>
      <w:bookmarkEnd w:id="29"/>
      <w:bookmarkEnd w:id="30"/>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Pri sastavljanju popisa mogućih opasnosti subjekt bi trebao uzeti u obzir sljedeće:</w:t>
      </w:r>
    </w:p>
    <w:p w:rsidR="00E016F1" w:rsidRPr="007C09D3" w:rsidRDefault="00E016F1" w:rsidP="00E016F1">
      <w:pPr>
        <w:jc w:val="both"/>
        <w:rPr>
          <w:rFonts w:ascii="Verdana" w:hAnsi="Verdana"/>
          <w:szCs w:val="20"/>
        </w:rPr>
      </w:pPr>
    </w:p>
    <w:p w:rsidR="00E016F1" w:rsidRPr="007C09D3" w:rsidRDefault="00E016F1" w:rsidP="001C3A68">
      <w:pPr>
        <w:numPr>
          <w:ilvl w:val="0"/>
          <w:numId w:val="39"/>
        </w:numPr>
        <w:jc w:val="both"/>
        <w:rPr>
          <w:rFonts w:ascii="Verdana" w:hAnsi="Verdana"/>
          <w:szCs w:val="20"/>
        </w:rPr>
      </w:pPr>
      <w:r>
        <w:rPr>
          <w:rFonts w:ascii="Verdana" w:hAnsi="Verdana"/>
        </w:rPr>
        <w:t xml:space="preserve">Direktivu o nepoželjnim tvarima u hrani za životinje (2002/32/EZ) </w:t>
      </w:r>
    </w:p>
    <w:p w:rsidR="00E016F1" w:rsidRPr="007C09D3" w:rsidRDefault="00E016F1" w:rsidP="001C3A68">
      <w:pPr>
        <w:numPr>
          <w:ilvl w:val="0"/>
          <w:numId w:val="39"/>
        </w:numPr>
        <w:autoSpaceDE w:val="0"/>
        <w:autoSpaceDN w:val="0"/>
        <w:adjustRightInd w:val="0"/>
        <w:spacing w:before="80" w:after="80"/>
        <w:jc w:val="both"/>
        <w:rPr>
          <w:rFonts w:ascii="Verdana" w:hAnsi="Verdana"/>
          <w:szCs w:val="20"/>
        </w:rPr>
      </w:pPr>
      <w:r>
        <w:rPr>
          <w:rFonts w:ascii="Verdana" w:hAnsi="Verdana"/>
        </w:rPr>
        <w:t>Uredbu o genetski modificiranoj hrani i hrani za životinje (1829/2003/EZ)</w:t>
      </w:r>
    </w:p>
    <w:p w:rsidR="00E016F1" w:rsidRPr="007C09D3" w:rsidRDefault="00E016F1" w:rsidP="001C3A68">
      <w:pPr>
        <w:numPr>
          <w:ilvl w:val="0"/>
          <w:numId w:val="39"/>
        </w:numPr>
        <w:autoSpaceDE w:val="0"/>
        <w:autoSpaceDN w:val="0"/>
        <w:adjustRightInd w:val="0"/>
        <w:spacing w:before="80" w:after="80"/>
        <w:jc w:val="both"/>
        <w:rPr>
          <w:rFonts w:ascii="Verdana" w:hAnsi="Verdana" w:cs="Arial"/>
          <w:szCs w:val="20"/>
        </w:rPr>
      </w:pPr>
      <w:r>
        <w:rPr>
          <w:rFonts w:ascii="Verdana" w:hAnsi="Verdana"/>
        </w:rPr>
        <w:t>Uredbu o stavljanju na tržište (767/2009/EZ)</w:t>
      </w:r>
    </w:p>
    <w:p w:rsidR="00842911" w:rsidRDefault="00E016F1" w:rsidP="001C3A68">
      <w:pPr>
        <w:numPr>
          <w:ilvl w:val="0"/>
          <w:numId w:val="39"/>
        </w:numPr>
        <w:autoSpaceDE w:val="0"/>
        <w:autoSpaceDN w:val="0"/>
        <w:adjustRightInd w:val="0"/>
        <w:spacing w:before="80" w:after="80"/>
        <w:jc w:val="both"/>
        <w:rPr>
          <w:rFonts w:ascii="Verdana" w:hAnsi="Verdana"/>
          <w:szCs w:val="20"/>
        </w:rPr>
      </w:pPr>
      <w:r>
        <w:rPr>
          <w:rFonts w:ascii="Verdana" w:hAnsi="Verdana"/>
        </w:rPr>
        <w:t>Uredbu o maksimalnim razinama ostataka pesticida u ili na hrani i hrani za životinje biljnog i životinjskog podrijetla (396/2005/EZ)</w:t>
      </w:r>
    </w:p>
    <w:p w:rsidR="00842911" w:rsidRPr="00842911" w:rsidRDefault="00842911" w:rsidP="001C3A68">
      <w:pPr>
        <w:numPr>
          <w:ilvl w:val="0"/>
          <w:numId w:val="39"/>
        </w:numPr>
        <w:autoSpaceDE w:val="0"/>
        <w:autoSpaceDN w:val="0"/>
        <w:adjustRightInd w:val="0"/>
        <w:spacing w:before="80" w:after="80"/>
        <w:jc w:val="both"/>
        <w:rPr>
          <w:rFonts w:ascii="Verdana" w:hAnsi="Verdana"/>
          <w:szCs w:val="20"/>
        </w:rPr>
      </w:pPr>
      <w:r>
        <w:rPr>
          <w:rFonts w:ascii="Verdana" w:hAnsi="Verdana"/>
        </w:rPr>
        <w:t>Uredbu o katalogu krmiva (68/2013/E</w:t>
      </w:r>
      <w:r w:rsidR="002F46C4">
        <w:rPr>
          <w:rFonts w:ascii="Verdana" w:hAnsi="Verdana"/>
        </w:rPr>
        <w:t>U</w:t>
      </w:r>
      <w:r>
        <w:rPr>
          <w:rFonts w:ascii="Verdana" w:hAnsi="Verdana"/>
        </w:rPr>
        <w:t>)</w:t>
      </w:r>
    </w:p>
    <w:p w:rsidR="005C6B94" w:rsidRPr="005C6B94" w:rsidRDefault="005C6B94" w:rsidP="001C3A68">
      <w:pPr>
        <w:numPr>
          <w:ilvl w:val="0"/>
          <w:numId w:val="39"/>
        </w:numPr>
        <w:autoSpaceDE w:val="0"/>
        <w:autoSpaceDN w:val="0"/>
        <w:adjustRightInd w:val="0"/>
        <w:spacing w:before="80" w:after="80"/>
        <w:jc w:val="both"/>
        <w:rPr>
          <w:rFonts w:ascii="Verdana" w:hAnsi="Verdana"/>
          <w:szCs w:val="20"/>
        </w:rPr>
      </w:pPr>
      <w:r>
        <w:rPr>
          <w:rFonts w:ascii="Verdana" w:hAnsi="Verdana"/>
        </w:rPr>
        <w:t>Uredbu u pogledu odobrenja objekata koji stavljaju na tržište, za korištenje u hrani za životinje, proizvode dobivene iz biljnih ulja i mješavina masti i u pogledu posebnih zahtjeva za proizvodnju, skladištenje, prijevoz i testiranje na dioksin ulja, masti i od njih dobivenih proizvoda (225/2012/E</w:t>
      </w:r>
      <w:r w:rsidR="002F46C4">
        <w:rPr>
          <w:rFonts w:ascii="Verdana" w:hAnsi="Verdana"/>
        </w:rPr>
        <w:t>U</w:t>
      </w:r>
      <w:r>
        <w:rPr>
          <w:rFonts w:ascii="Verdana" w:hAnsi="Verdana"/>
        </w:rPr>
        <w:t>).</w:t>
      </w:r>
    </w:p>
    <w:p w:rsidR="00E016F1" w:rsidRPr="00E67C19" w:rsidRDefault="00E016F1" w:rsidP="00E016F1">
      <w:pPr>
        <w:jc w:val="both"/>
        <w:rPr>
          <w:rFonts w:ascii="Verdana" w:hAnsi="Verdana"/>
          <w:szCs w:val="20"/>
        </w:rPr>
      </w:pPr>
    </w:p>
    <w:p w:rsidR="00E016F1" w:rsidRPr="00E67C19" w:rsidRDefault="00E016F1" w:rsidP="00E016F1">
      <w:pPr>
        <w:jc w:val="both"/>
        <w:rPr>
          <w:rFonts w:ascii="Verdana" w:hAnsi="Verdana"/>
          <w:szCs w:val="20"/>
        </w:rPr>
      </w:pPr>
      <w:r>
        <w:rPr>
          <w:rFonts w:ascii="Verdana" w:hAnsi="Verdana"/>
        </w:rPr>
        <w:t>Sljedeći je popis primjera nepotpun te bi ga trebalo prilagoditi u skladu s okolnostima.</w:t>
      </w:r>
    </w:p>
    <w:p w:rsidR="00E016F1" w:rsidRPr="00E67C19" w:rsidRDefault="00E016F1" w:rsidP="00E016F1">
      <w:pPr>
        <w:rPr>
          <w:rFonts w:ascii="Verdana" w:hAnsi="Verdana"/>
          <w:szCs w:val="20"/>
        </w:rPr>
      </w:pPr>
    </w:p>
    <w:p w:rsidR="00E016F1" w:rsidRPr="00E67C19" w:rsidRDefault="00E016F1" w:rsidP="00E016F1">
      <w:pPr>
        <w:rPr>
          <w:rFonts w:ascii="Verdana" w:hAnsi="Verdana"/>
          <w:b/>
          <w:bCs/>
          <w:iCs/>
          <w:szCs w:val="20"/>
        </w:rPr>
      </w:pPr>
      <w:r>
        <w:rPr>
          <w:rFonts w:ascii="Verdana" w:hAnsi="Verdana"/>
          <w:b/>
        </w:rPr>
        <w:t>Biološke opasnosti</w:t>
      </w:r>
    </w:p>
    <w:p w:rsidR="00E016F1" w:rsidRPr="00E67C19" w:rsidRDefault="00E016F1" w:rsidP="00E016F1">
      <w:pPr>
        <w:rPr>
          <w:rFonts w:ascii="Verdana" w:hAnsi="Verdana"/>
          <w:szCs w:val="20"/>
        </w:rPr>
      </w:pPr>
    </w:p>
    <w:p w:rsidR="00E016F1" w:rsidRPr="00E67C19" w:rsidRDefault="00E016F1" w:rsidP="001C3A68">
      <w:pPr>
        <w:numPr>
          <w:ilvl w:val="0"/>
          <w:numId w:val="40"/>
        </w:numPr>
        <w:jc w:val="both"/>
        <w:rPr>
          <w:rFonts w:ascii="Verdana" w:hAnsi="Verdana"/>
          <w:szCs w:val="20"/>
        </w:rPr>
      </w:pPr>
      <w:r>
        <w:rPr>
          <w:rFonts w:ascii="Verdana" w:hAnsi="Verdana"/>
        </w:rPr>
        <w:t xml:space="preserve">Relevantni biljni patogeni prema uredbi o </w:t>
      </w:r>
      <w:r w:rsidR="00ED4F97">
        <w:rPr>
          <w:rFonts w:ascii="Verdana" w:hAnsi="Verdana"/>
        </w:rPr>
        <w:t>higijeni</w:t>
      </w:r>
      <w:r>
        <w:rPr>
          <w:rFonts w:ascii="Verdana" w:hAnsi="Verdana"/>
        </w:rPr>
        <w:t xml:space="preserve"> hran</w:t>
      </w:r>
      <w:r w:rsidR="00ED4F97">
        <w:rPr>
          <w:rFonts w:ascii="Verdana" w:hAnsi="Verdana"/>
        </w:rPr>
        <w:t>e</w:t>
      </w:r>
      <w:r>
        <w:rPr>
          <w:rFonts w:ascii="Verdana" w:hAnsi="Verdana"/>
        </w:rPr>
        <w:t xml:space="preserve"> za životinje i povezani mikrobiološki kriteriji.</w:t>
      </w:r>
    </w:p>
    <w:p w:rsidR="00E016F1" w:rsidRPr="00E67C19" w:rsidRDefault="00E016F1" w:rsidP="00E016F1">
      <w:pPr>
        <w:ind w:left="360"/>
        <w:jc w:val="both"/>
        <w:rPr>
          <w:rFonts w:ascii="Verdana" w:hAnsi="Verdana"/>
          <w:szCs w:val="20"/>
        </w:rPr>
      </w:pPr>
    </w:p>
    <w:p w:rsidR="00E016F1" w:rsidRPr="00E67C19" w:rsidRDefault="00E016F1" w:rsidP="00E016F1">
      <w:pPr>
        <w:rPr>
          <w:rFonts w:ascii="Verdana" w:hAnsi="Verdana"/>
          <w:b/>
          <w:bCs/>
          <w:iCs/>
          <w:szCs w:val="20"/>
        </w:rPr>
      </w:pPr>
      <w:r>
        <w:rPr>
          <w:rFonts w:ascii="Verdana" w:hAnsi="Verdana"/>
          <w:b/>
        </w:rPr>
        <w:t>Potencijalne kemijske opasnosti</w:t>
      </w:r>
    </w:p>
    <w:p w:rsidR="00E016F1" w:rsidRPr="00E67C19" w:rsidRDefault="00E016F1" w:rsidP="001C3A68">
      <w:pPr>
        <w:numPr>
          <w:ilvl w:val="0"/>
          <w:numId w:val="41"/>
        </w:numPr>
        <w:spacing w:before="120"/>
        <w:jc w:val="both"/>
        <w:rPr>
          <w:rFonts w:ascii="Verdana" w:hAnsi="Verdana"/>
          <w:szCs w:val="20"/>
        </w:rPr>
      </w:pPr>
      <w:r>
        <w:rPr>
          <w:rFonts w:ascii="Verdana" w:hAnsi="Verdana"/>
        </w:rPr>
        <w:t xml:space="preserve">procesne kemikalije, pomoćne tvari u procesu proizvodnje i </w:t>
      </w:r>
      <w:proofErr w:type="spellStart"/>
      <w:r>
        <w:rPr>
          <w:rFonts w:ascii="Verdana" w:hAnsi="Verdana"/>
        </w:rPr>
        <w:t>antioksidansi</w:t>
      </w:r>
      <w:proofErr w:type="spellEnd"/>
      <w:r>
        <w:rPr>
          <w:rFonts w:ascii="Verdana" w:hAnsi="Verdana"/>
        </w:rPr>
        <w:t xml:space="preserve"> </w:t>
      </w:r>
    </w:p>
    <w:p w:rsidR="00E016F1" w:rsidRPr="00E67C19" w:rsidRDefault="00E016F1" w:rsidP="001C3A68">
      <w:pPr>
        <w:numPr>
          <w:ilvl w:val="0"/>
          <w:numId w:val="41"/>
        </w:numPr>
        <w:spacing w:before="120"/>
        <w:rPr>
          <w:rFonts w:ascii="Verdana" w:hAnsi="Verdana"/>
          <w:szCs w:val="20"/>
        </w:rPr>
      </w:pPr>
      <w:proofErr w:type="spellStart"/>
      <w:r>
        <w:rPr>
          <w:rFonts w:ascii="Verdana" w:hAnsi="Verdana"/>
        </w:rPr>
        <w:t>mikotoksin</w:t>
      </w:r>
      <w:proofErr w:type="spellEnd"/>
    </w:p>
    <w:p w:rsidR="00E016F1" w:rsidRPr="00E67C19" w:rsidRDefault="00E016F1" w:rsidP="001C3A68">
      <w:pPr>
        <w:numPr>
          <w:ilvl w:val="0"/>
          <w:numId w:val="41"/>
        </w:numPr>
        <w:spacing w:before="120"/>
        <w:rPr>
          <w:rFonts w:ascii="Verdana" w:hAnsi="Verdana"/>
          <w:szCs w:val="20"/>
        </w:rPr>
      </w:pPr>
      <w:r>
        <w:rPr>
          <w:rFonts w:ascii="Verdana" w:hAnsi="Verdana"/>
        </w:rPr>
        <w:t>teški metali</w:t>
      </w:r>
    </w:p>
    <w:p w:rsidR="00E016F1" w:rsidRPr="00E67C19" w:rsidRDefault="00E016F1" w:rsidP="001C3A68">
      <w:pPr>
        <w:numPr>
          <w:ilvl w:val="0"/>
          <w:numId w:val="41"/>
        </w:numPr>
        <w:spacing w:before="120"/>
        <w:rPr>
          <w:rFonts w:ascii="Verdana" w:hAnsi="Verdana"/>
          <w:szCs w:val="20"/>
        </w:rPr>
      </w:pPr>
      <w:r>
        <w:rPr>
          <w:rFonts w:ascii="Verdana" w:hAnsi="Verdana"/>
        </w:rPr>
        <w:t>ostaci pesticida</w:t>
      </w:r>
    </w:p>
    <w:p w:rsidR="00E016F1" w:rsidRPr="00E67C19" w:rsidRDefault="00E016F1" w:rsidP="001C3A68">
      <w:pPr>
        <w:numPr>
          <w:ilvl w:val="0"/>
          <w:numId w:val="41"/>
        </w:numPr>
        <w:spacing w:before="120"/>
        <w:rPr>
          <w:rFonts w:ascii="Verdana" w:hAnsi="Verdana"/>
          <w:szCs w:val="20"/>
        </w:rPr>
      </w:pPr>
      <w:r>
        <w:rPr>
          <w:rFonts w:ascii="Verdana" w:hAnsi="Verdana"/>
        </w:rPr>
        <w:t xml:space="preserve">PCB, </w:t>
      </w:r>
      <w:proofErr w:type="spellStart"/>
      <w:r>
        <w:rPr>
          <w:rFonts w:ascii="Verdana" w:hAnsi="Verdana"/>
        </w:rPr>
        <w:t>dioksini</w:t>
      </w:r>
      <w:proofErr w:type="spellEnd"/>
    </w:p>
    <w:p w:rsidR="00E016F1" w:rsidRPr="00E67C19" w:rsidRDefault="00E016F1" w:rsidP="001C3A68">
      <w:pPr>
        <w:numPr>
          <w:ilvl w:val="0"/>
          <w:numId w:val="41"/>
        </w:numPr>
        <w:spacing w:before="120"/>
        <w:rPr>
          <w:rFonts w:ascii="Verdana" w:hAnsi="Verdana"/>
          <w:szCs w:val="20"/>
        </w:rPr>
      </w:pPr>
      <w:r>
        <w:rPr>
          <w:rFonts w:ascii="Verdana" w:hAnsi="Verdana"/>
        </w:rPr>
        <w:t xml:space="preserve">policiklički aromatski ugljikovodici (PAU) </w:t>
      </w:r>
    </w:p>
    <w:p w:rsidR="00E016F1" w:rsidRPr="005C6B94" w:rsidRDefault="00FC7C00" w:rsidP="001C3A68">
      <w:pPr>
        <w:numPr>
          <w:ilvl w:val="0"/>
          <w:numId w:val="41"/>
        </w:numPr>
        <w:spacing w:before="120"/>
        <w:rPr>
          <w:rFonts w:ascii="Verdana" w:hAnsi="Verdana"/>
          <w:szCs w:val="20"/>
        </w:rPr>
      </w:pPr>
      <w:r>
        <w:rPr>
          <w:rFonts w:ascii="Verdana" w:hAnsi="Verdana"/>
        </w:rPr>
        <w:t>maziva (nije za upotrebu u prehrambenoj industriji)</w:t>
      </w:r>
    </w:p>
    <w:p w:rsidR="00E016F1" w:rsidRPr="005C6B94" w:rsidRDefault="00E016F1" w:rsidP="001C3A68">
      <w:pPr>
        <w:numPr>
          <w:ilvl w:val="0"/>
          <w:numId w:val="41"/>
        </w:numPr>
        <w:spacing w:before="120"/>
        <w:rPr>
          <w:rFonts w:ascii="Verdana" w:hAnsi="Verdana"/>
          <w:szCs w:val="20"/>
        </w:rPr>
      </w:pPr>
      <w:r>
        <w:rPr>
          <w:rFonts w:ascii="Verdana" w:hAnsi="Verdana"/>
        </w:rPr>
        <w:t>kemikalije za suzbijanje štetnika.</w:t>
      </w:r>
    </w:p>
    <w:p w:rsidR="00E016F1" w:rsidRPr="005C6B94" w:rsidRDefault="00E016F1" w:rsidP="00E016F1">
      <w:pPr>
        <w:rPr>
          <w:rFonts w:ascii="Verdana" w:hAnsi="Verdana"/>
          <w:b/>
          <w:bCs/>
          <w:i/>
          <w:iCs/>
          <w:szCs w:val="20"/>
        </w:rPr>
      </w:pPr>
    </w:p>
    <w:p w:rsidR="00E016F1" w:rsidRDefault="00E016F1" w:rsidP="00E016F1">
      <w:pPr>
        <w:jc w:val="both"/>
        <w:rPr>
          <w:rFonts w:ascii="Verdana" w:hAnsi="Verdana"/>
          <w:bCs/>
          <w:iCs/>
          <w:szCs w:val="20"/>
        </w:rPr>
      </w:pPr>
      <w:r>
        <w:rPr>
          <w:rFonts w:ascii="Verdana" w:hAnsi="Verdana"/>
        </w:rPr>
        <w:lastRenderedPageBreak/>
        <w:t>Upotreba pomoćnih tvari u procesu proizvodnje uključena je u analizu opasnosti koju je razvio subjekt u skladu sa zahtjevima iz odjeljka 6. vodiča.</w:t>
      </w:r>
    </w:p>
    <w:p w:rsidR="00E016F1" w:rsidRDefault="00E016F1" w:rsidP="00E016F1">
      <w:pPr>
        <w:jc w:val="both"/>
        <w:rPr>
          <w:rFonts w:ascii="Verdana" w:hAnsi="Verdana"/>
          <w:bCs/>
          <w:iCs/>
          <w:szCs w:val="20"/>
        </w:rPr>
      </w:pPr>
    </w:p>
    <w:p w:rsidR="00E016F1" w:rsidRPr="00300F3C" w:rsidRDefault="00E016F1" w:rsidP="00E016F1">
      <w:pPr>
        <w:jc w:val="both"/>
        <w:rPr>
          <w:rFonts w:ascii="Verdana" w:hAnsi="Verdana"/>
          <w:bCs/>
          <w:iCs/>
          <w:szCs w:val="20"/>
        </w:rPr>
      </w:pPr>
    </w:p>
    <w:p w:rsidR="00E016F1" w:rsidRPr="00300F3C" w:rsidRDefault="00E016F1" w:rsidP="00E016F1">
      <w:pPr>
        <w:rPr>
          <w:rFonts w:ascii="Verdana" w:hAnsi="Verdana"/>
          <w:b/>
          <w:bCs/>
          <w:iCs/>
          <w:szCs w:val="20"/>
        </w:rPr>
      </w:pPr>
      <w:r>
        <w:rPr>
          <w:rFonts w:ascii="Verdana" w:hAnsi="Verdana"/>
          <w:b/>
          <w:i/>
        </w:rPr>
        <w:t xml:space="preserve"> </w:t>
      </w:r>
      <w:r>
        <w:rPr>
          <w:rFonts w:ascii="Verdana" w:hAnsi="Verdana"/>
          <w:b/>
        </w:rPr>
        <w:t>Opasnosti od fizičke kontaminacije</w:t>
      </w:r>
    </w:p>
    <w:p w:rsidR="00E016F1" w:rsidRPr="00300F3C" w:rsidRDefault="005C6B94" w:rsidP="001C3A68">
      <w:pPr>
        <w:numPr>
          <w:ilvl w:val="0"/>
          <w:numId w:val="42"/>
        </w:numPr>
        <w:spacing w:before="120"/>
        <w:rPr>
          <w:rFonts w:ascii="Verdana" w:hAnsi="Verdana"/>
          <w:szCs w:val="20"/>
        </w:rPr>
      </w:pPr>
      <w:r>
        <w:rPr>
          <w:rFonts w:ascii="Verdana" w:hAnsi="Verdana"/>
        </w:rPr>
        <w:t>fizička kontaminacija, npr. metal, staklo.</w:t>
      </w:r>
    </w:p>
    <w:p w:rsidR="00E016F1" w:rsidRPr="00300F3C" w:rsidRDefault="00E016F1" w:rsidP="00E016F1">
      <w:pPr>
        <w:spacing w:before="120"/>
        <w:rPr>
          <w:rFonts w:ascii="Verdana" w:hAnsi="Verdana"/>
          <w:szCs w:val="20"/>
        </w:rPr>
      </w:pPr>
    </w:p>
    <w:p w:rsidR="00E016F1" w:rsidRPr="00300F3C" w:rsidRDefault="00E016F1" w:rsidP="00E016F1">
      <w:pPr>
        <w:spacing w:before="120"/>
        <w:rPr>
          <w:rFonts w:ascii="Verdana" w:hAnsi="Verdana"/>
          <w:b/>
          <w:szCs w:val="20"/>
        </w:rPr>
      </w:pPr>
      <w:r>
        <w:rPr>
          <w:rFonts w:ascii="Verdana" w:hAnsi="Verdana"/>
          <w:b/>
        </w:rPr>
        <w:t>Opasnosti od radioaktivnog zračenja</w:t>
      </w:r>
    </w:p>
    <w:p w:rsidR="00E016F1" w:rsidRPr="00300F3C" w:rsidRDefault="00E016F1" w:rsidP="001C3A68">
      <w:pPr>
        <w:numPr>
          <w:ilvl w:val="0"/>
          <w:numId w:val="43"/>
        </w:numPr>
        <w:spacing w:before="120"/>
        <w:rPr>
          <w:rFonts w:ascii="Verdana" w:hAnsi="Verdana"/>
          <w:szCs w:val="20"/>
        </w:rPr>
      </w:pPr>
      <w:r>
        <w:rPr>
          <w:rFonts w:ascii="Verdana" w:hAnsi="Verdana"/>
        </w:rPr>
        <w:t>radionuklidi (nakon nuklearne nesreće).</w:t>
      </w:r>
    </w:p>
    <w:p w:rsidR="00E016F1" w:rsidRPr="00300F3C" w:rsidRDefault="00E016F1" w:rsidP="00E016F1">
      <w:pPr>
        <w:rPr>
          <w:rFonts w:ascii="Verdana" w:hAnsi="Verdana"/>
          <w:szCs w:val="20"/>
        </w:rPr>
      </w:pPr>
    </w:p>
    <w:p w:rsidR="00E016F1" w:rsidRPr="007C09D3" w:rsidRDefault="00E016F1" w:rsidP="00E0569C">
      <w:pPr>
        <w:pStyle w:val="Heading2"/>
      </w:pPr>
      <w:bookmarkStart w:id="31" w:name="Ris_base_approach"/>
      <w:bookmarkStart w:id="32" w:name="_Toc354998620"/>
      <w:bookmarkStart w:id="33" w:name="_Toc435620768"/>
      <w:r>
        <w:t xml:space="preserve">Pristup temeljen na riziku </w:t>
      </w:r>
      <w:bookmarkEnd w:id="31"/>
      <w:r>
        <w:t>za karakterizaciju opasnosti primjenjivu na krmiva nastala proizvodnjom biodizela</w:t>
      </w:r>
      <w:bookmarkEnd w:id="32"/>
      <w:bookmarkEnd w:id="33"/>
    </w:p>
    <w:p w:rsidR="00CB2462" w:rsidRPr="00CB2462" w:rsidRDefault="00CB2462" w:rsidP="00E016F1">
      <w:pPr>
        <w:pStyle w:val="BodyTextIndent2"/>
        <w:tabs>
          <w:tab w:val="left" w:pos="0"/>
        </w:tabs>
        <w:spacing w:line="240" w:lineRule="auto"/>
        <w:ind w:left="0" w:right="360"/>
        <w:jc w:val="both"/>
        <w:rPr>
          <w:rFonts w:cs="Tahoma"/>
          <w:szCs w:val="20"/>
          <w:u w:val="single"/>
        </w:rPr>
      </w:pPr>
    </w:p>
    <w:p w:rsidR="00E016F1" w:rsidRPr="007C09D3" w:rsidRDefault="00E016F1" w:rsidP="00E016F1">
      <w:pPr>
        <w:pStyle w:val="BodyTextIndent2"/>
        <w:tabs>
          <w:tab w:val="left" w:pos="0"/>
          <w:tab w:val="left" w:pos="9200"/>
        </w:tabs>
        <w:spacing w:line="240" w:lineRule="auto"/>
        <w:ind w:left="0" w:right="13"/>
        <w:jc w:val="both"/>
        <w:rPr>
          <w:rFonts w:ascii="Verdana" w:hAnsi="Verdana"/>
          <w:szCs w:val="20"/>
        </w:rPr>
      </w:pPr>
      <w:r>
        <w:rPr>
          <w:rFonts w:ascii="Verdana" w:hAnsi="Verdana"/>
        </w:rPr>
        <w:t>Sljedeće tablice predstavljaju karakterizaciju opasnosti koje se mogu primijeniti na proizvode nastale proizvodnjom biodizela koji se prodaju kao krmiva. Za bolje razumijevanje tablica s procjenama rizika u nastavku vidi glavni tekst EFISC-a, poglavlje 6. sustava HACCP.</w:t>
      </w:r>
    </w:p>
    <w:p w:rsidR="00E016F1" w:rsidRPr="007C09D3" w:rsidRDefault="00E016F1" w:rsidP="00E016F1">
      <w:pPr>
        <w:jc w:val="both"/>
        <w:rPr>
          <w:rFonts w:ascii="Verdana" w:hAnsi="Verdana"/>
          <w:szCs w:val="20"/>
        </w:rPr>
      </w:pPr>
      <w:r>
        <w:rPr>
          <w:rFonts w:ascii="Verdana" w:hAnsi="Verdana"/>
        </w:rPr>
        <w:t xml:space="preserve">Ti se rizici ne mogu smatrati potpunima i mogu se razlikovati među proizvođačima biodizela na temelju pojedinačnih i specifičnih uvjeta prerade proizvođača. </w:t>
      </w:r>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Proizvođači biodizela smanjili su rizike na razinu koja odgovara njihovim specifičnim uvjetima poslovanja.</w:t>
      </w:r>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p>
    <w:p w:rsidR="00E016F1" w:rsidRPr="007C09D3" w:rsidRDefault="00E016F1" w:rsidP="00E016F1">
      <w:pPr>
        <w:spacing w:before="120"/>
        <w:jc w:val="both"/>
        <w:rPr>
          <w:rFonts w:ascii="Verdana" w:hAnsi="Verdana"/>
          <w:szCs w:val="20"/>
        </w:rPr>
      </w:pPr>
      <w:r>
        <w:rPr>
          <w:rFonts w:ascii="Verdana" w:hAnsi="Verdana"/>
        </w:rPr>
        <w:t xml:space="preserve">Uzele su se u obzir tri kategorije opasnosti: </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biološke opasnosti</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 xml:space="preserve">kemijske opasnosti </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fizičke opasnosti.</w:t>
      </w:r>
    </w:p>
    <w:p w:rsidR="00E4063B" w:rsidRPr="00E016F1" w:rsidRDefault="007C09D3" w:rsidP="002E52C2">
      <w:pPr>
        <w:rPr>
          <w:rFonts w:ascii="Verdana" w:hAnsi="Verdana"/>
          <w:b/>
        </w:rPr>
      </w:pPr>
      <w:r>
        <w:br w:type="page"/>
      </w:r>
    </w:p>
    <w:p w:rsidR="00B631D4" w:rsidRPr="00E0569C" w:rsidRDefault="00B631D4" w:rsidP="00E0569C">
      <w:pPr>
        <w:pStyle w:val="Heading2"/>
        <w:rPr>
          <w:rFonts w:ascii="Verdana" w:hAnsi="Verdana"/>
        </w:rPr>
      </w:pPr>
      <w:bookmarkStart w:id="34" w:name="_Toc354998621"/>
      <w:bookmarkStart w:id="35" w:name="_Toc435620769"/>
      <w:r>
        <w:rPr>
          <w:rFonts w:ascii="Verdana" w:hAnsi="Verdana"/>
        </w:rPr>
        <w:lastRenderedPageBreak/>
        <w:t>Postupak provođenja procjene rizika</w:t>
      </w:r>
      <w:bookmarkEnd w:id="34"/>
      <w:bookmarkEnd w:id="35"/>
    </w:p>
    <w:p w:rsidR="00E0569C" w:rsidRDefault="00E0569C" w:rsidP="00E0569C">
      <w:pPr>
        <w:pStyle w:val="Heading2"/>
        <w:numPr>
          <w:ilvl w:val="0"/>
          <w:numId w:val="0"/>
        </w:numPr>
        <w:rPr>
          <w:rFonts w:ascii="Verdana" w:hAnsi="Verdana"/>
        </w:rPr>
      </w:pPr>
      <w:bookmarkStart w:id="36" w:name="_Toc348535624"/>
      <w:bookmarkStart w:id="37" w:name="_Toc349810400"/>
    </w:p>
    <w:p w:rsidR="00AB1F25" w:rsidRDefault="00AB1F25" w:rsidP="00784AA7">
      <w:pPr>
        <w:ind w:left="567"/>
        <w:rPr>
          <w:rFonts w:cs="Tahoma"/>
          <w:szCs w:val="20"/>
          <w:u w:val="single"/>
        </w:rPr>
      </w:pPr>
      <w:r>
        <w:rPr>
          <w:u w:val="single"/>
        </w:rPr>
        <w:t>EBB je slijedio metodologiju kako je opisana u Vodiču, poglavlje 6. o HACCP-u</w:t>
      </w:r>
    </w:p>
    <w:p w:rsidR="00AB1F25" w:rsidRPr="00AB1F25" w:rsidRDefault="00AB1F25" w:rsidP="00AB1F25"/>
    <w:p w:rsidR="00D10ECC" w:rsidRPr="00E0569C" w:rsidRDefault="00D10ECC" w:rsidP="009301A1">
      <w:pPr>
        <w:pStyle w:val="Heading3"/>
        <w:jc w:val="both"/>
      </w:pPr>
      <w:bookmarkStart w:id="38" w:name="_Toc350504669"/>
      <w:bookmarkStart w:id="39" w:name="_Toc354403041"/>
      <w:bookmarkStart w:id="40" w:name="_Toc354998622"/>
      <w:bookmarkStart w:id="41" w:name="_Toc435620770"/>
      <w:r>
        <w:t xml:space="preserve">Postupak u vezi s biodizelom: EBB je izradio dijagram toka kojim se obuhvaćaju sve faze proizvodnje </w:t>
      </w:r>
      <w:proofErr w:type="spellStart"/>
      <w:r>
        <w:t>biodizela</w:t>
      </w:r>
      <w:proofErr w:type="spellEnd"/>
      <w:r>
        <w:t>: prijevoz i zaprimanj</w:t>
      </w:r>
      <w:r w:rsidR="00ED4F97">
        <w:t>e</w:t>
      </w:r>
      <w:r>
        <w:t xml:space="preserve"> sirovina, skladištenj</w:t>
      </w:r>
      <w:r w:rsidR="00ED4F97">
        <w:t>e</w:t>
      </w:r>
      <w:r>
        <w:t xml:space="preserve">, </w:t>
      </w:r>
      <w:r w:rsidR="00ED4F97">
        <w:t>korištenje</w:t>
      </w:r>
      <w:r>
        <w:t xml:space="preserve"> pomoćnih tvari u procesu proizvodnje, odvajanj</w:t>
      </w:r>
      <w:r w:rsidR="00ED4F97">
        <w:t>e</w:t>
      </w:r>
      <w:r>
        <w:t xml:space="preserve"> materijala nakon </w:t>
      </w:r>
      <w:proofErr w:type="spellStart"/>
      <w:r>
        <w:t>transesterifikacije</w:t>
      </w:r>
      <w:proofErr w:type="spellEnd"/>
      <w:r>
        <w:t>, pranj</w:t>
      </w:r>
      <w:r w:rsidR="00ED4F97">
        <w:t>e</w:t>
      </w:r>
      <w:r>
        <w:t xml:space="preserve"> </w:t>
      </w:r>
      <w:r w:rsidR="00ED4F97">
        <w:t xml:space="preserve">(čime se dobivaju </w:t>
      </w:r>
      <w:r>
        <w:t>krajnj</w:t>
      </w:r>
      <w:r w:rsidR="00ED4F97">
        <w:t>i</w:t>
      </w:r>
      <w:r>
        <w:t xml:space="preserve"> proizvod</w:t>
      </w:r>
      <w:r w:rsidR="00ED4F97">
        <w:t>i:</w:t>
      </w:r>
      <w:r>
        <w:t xml:space="preserve"> </w:t>
      </w:r>
      <w:proofErr w:type="spellStart"/>
      <w:r>
        <w:t>biodizel</w:t>
      </w:r>
      <w:proofErr w:type="spellEnd"/>
      <w:r>
        <w:t xml:space="preserve"> i sirov</w:t>
      </w:r>
      <w:r w:rsidR="00ED4F97">
        <w:t>i</w:t>
      </w:r>
      <w:r>
        <w:t xml:space="preserve"> glicerin</w:t>
      </w:r>
      <w:r w:rsidR="00ED4F97">
        <w:t>) i konačno</w:t>
      </w:r>
      <w:r>
        <w:t xml:space="preserve"> skladištenj</w:t>
      </w:r>
      <w:r w:rsidR="00ED4F97">
        <w:t>e</w:t>
      </w:r>
      <w:r>
        <w:t xml:space="preserve"> i prijevoz.</w:t>
      </w:r>
      <w:bookmarkEnd w:id="36"/>
      <w:bookmarkEnd w:id="37"/>
      <w:bookmarkEnd w:id="38"/>
      <w:bookmarkEnd w:id="39"/>
      <w:bookmarkEnd w:id="40"/>
      <w:bookmarkEnd w:id="41"/>
    </w:p>
    <w:p w:rsidR="00793196" w:rsidRPr="00E0569C" w:rsidRDefault="00793196" w:rsidP="00E0569C">
      <w:pPr>
        <w:ind w:left="567"/>
        <w:jc w:val="both"/>
        <w:rPr>
          <w:rFonts w:ascii="Verdana" w:hAnsi="Verdana"/>
        </w:rPr>
      </w:pPr>
    </w:p>
    <w:p w:rsidR="00E252E3" w:rsidRPr="00E0569C" w:rsidRDefault="00793196" w:rsidP="00E0569C">
      <w:pPr>
        <w:pStyle w:val="Heading3"/>
        <w:jc w:val="both"/>
        <w:rPr>
          <w:rFonts w:ascii="Verdana" w:hAnsi="Verdana"/>
        </w:rPr>
      </w:pPr>
      <w:bookmarkStart w:id="42" w:name="_Toc348535625"/>
      <w:bookmarkStart w:id="43" w:name="_Toc349810401"/>
      <w:bookmarkStart w:id="44" w:name="_Toc350504670"/>
      <w:bookmarkStart w:id="45" w:name="_Toc354403042"/>
      <w:bookmarkStart w:id="46" w:name="_Toc354998623"/>
      <w:bookmarkStart w:id="47" w:name="_Toc435620771"/>
      <w:r>
        <w:rPr>
          <w:rFonts w:ascii="Verdana" w:hAnsi="Verdana"/>
        </w:rPr>
        <w:t>Za korake prerade: obično su se opisivale opasnosti povezane s komunalnim uslugama. Opasnost za sigurnost je biološko (B), kemijsko (K) ili fizičko (F) sredstvo u proizvodu, ili stanje proizvoda, koje ga čini štetnim za zdravlje ljudi ili životinja.</w:t>
      </w:r>
      <w:bookmarkEnd w:id="42"/>
      <w:bookmarkEnd w:id="43"/>
      <w:bookmarkEnd w:id="44"/>
      <w:bookmarkEnd w:id="45"/>
      <w:bookmarkEnd w:id="46"/>
      <w:bookmarkEnd w:id="47"/>
    </w:p>
    <w:p w:rsidR="00E252E3" w:rsidRPr="00E0569C" w:rsidRDefault="00E252E3" w:rsidP="00E0569C">
      <w:pPr>
        <w:pStyle w:val="Heading3"/>
        <w:numPr>
          <w:ilvl w:val="0"/>
          <w:numId w:val="0"/>
        </w:numPr>
        <w:ind w:left="567"/>
        <w:jc w:val="both"/>
        <w:rPr>
          <w:rFonts w:ascii="Verdana" w:hAnsi="Verdana"/>
        </w:rPr>
      </w:pPr>
    </w:p>
    <w:p w:rsidR="00D821F8" w:rsidRDefault="00E252E3" w:rsidP="00E0569C">
      <w:pPr>
        <w:pStyle w:val="Heading3"/>
        <w:jc w:val="both"/>
        <w:rPr>
          <w:rFonts w:ascii="Verdana" w:hAnsi="Verdana"/>
        </w:rPr>
      </w:pPr>
      <w:bookmarkStart w:id="48" w:name="_Toc435620772"/>
      <w:bookmarkStart w:id="49" w:name="_Toc348535626"/>
      <w:bookmarkStart w:id="50" w:name="_Toc349810402"/>
      <w:bookmarkStart w:id="51" w:name="_Toc350504671"/>
      <w:bookmarkStart w:id="52" w:name="_Toc354403043"/>
      <w:bookmarkStart w:id="53" w:name="_Toc354998624"/>
      <w:r>
        <w:rPr>
          <w:rFonts w:ascii="Verdana" w:hAnsi="Verdana"/>
        </w:rPr>
        <w:t>Procjena temeljena na riziku provedena je po opasnostima u elementima lanca koji su izravno povezani s profesionalnom djelatnošću članova EBB-a u okviru proizvodnog procesa.</w:t>
      </w:r>
      <w:bookmarkEnd w:id="48"/>
    </w:p>
    <w:p w:rsidR="00D821F8" w:rsidRPr="00D821F8" w:rsidRDefault="00D821F8" w:rsidP="00D821F8"/>
    <w:p w:rsidR="00D821F8" w:rsidRDefault="00D821F8" w:rsidP="00E0569C">
      <w:pPr>
        <w:pStyle w:val="Heading3"/>
        <w:jc w:val="both"/>
        <w:rPr>
          <w:rFonts w:ascii="Verdana" w:hAnsi="Verdana"/>
          <w:szCs w:val="20"/>
        </w:rPr>
      </w:pPr>
      <w:bookmarkStart w:id="54" w:name="_Toc435620773"/>
      <w:r>
        <w:rPr>
          <w:rFonts w:ascii="Verdana" w:hAnsi="Verdana"/>
        </w:rPr>
        <w:t>Kako je prethodno opisano, ti se rizici ne mogu smatrati potpunima i mogu se razlikovati među proizvođačima biodizela na temelju pojedinačnih i specifičnih uvjeta prerade proizvođača.</w:t>
      </w:r>
      <w:bookmarkEnd w:id="54"/>
    </w:p>
    <w:p w:rsidR="00D821F8" w:rsidRDefault="00D821F8" w:rsidP="00D821F8">
      <w:pPr>
        <w:pStyle w:val="Heading3"/>
        <w:numPr>
          <w:ilvl w:val="0"/>
          <w:numId w:val="0"/>
        </w:numPr>
        <w:ind w:left="1440" w:hanging="720"/>
        <w:jc w:val="both"/>
        <w:rPr>
          <w:rFonts w:ascii="Verdana" w:hAnsi="Verdana"/>
          <w:szCs w:val="20"/>
        </w:rPr>
      </w:pPr>
    </w:p>
    <w:p w:rsidR="0062274A" w:rsidRPr="00E851BD" w:rsidRDefault="0062274A" w:rsidP="00E851BD">
      <w:pPr>
        <w:pStyle w:val="Heading3"/>
        <w:numPr>
          <w:ilvl w:val="0"/>
          <w:numId w:val="0"/>
        </w:numPr>
        <w:ind w:left="1440" w:hanging="24"/>
        <w:jc w:val="both"/>
        <w:rPr>
          <w:rFonts w:ascii="Verdana" w:hAnsi="Verdana"/>
          <w:szCs w:val="20"/>
        </w:rPr>
      </w:pPr>
      <w:bookmarkStart w:id="55" w:name="_Toc435620774"/>
      <w:r>
        <w:rPr>
          <w:rFonts w:ascii="Verdana" w:hAnsi="Verdana"/>
        </w:rPr>
        <w:t>Nadalje, u tim se tablicama ne nalaze operativni preduvjetni programi (OPUP) ni kritične kontrolne točke (KKT) jer bi odluka koja bi dovela do uspostave takvih OPUP-ova ili KKT-ova trebala biti dosljedna sa stvarnim radnim uvjetima svakog pogona ili proizvodne linije.</w:t>
      </w:r>
      <w:bookmarkEnd w:id="55"/>
    </w:p>
    <w:p w:rsidR="0062274A" w:rsidRDefault="0062274A" w:rsidP="0062274A"/>
    <w:bookmarkEnd w:id="49"/>
    <w:bookmarkEnd w:id="50"/>
    <w:bookmarkEnd w:id="51"/>
    <w:bookmarkEnd w:id="52"/>
    <w:bookmarkEnd w:id="53"/>
    <w:p w:rsidR="00E252E3" w:rsidRPr="00C50BC8" w:rsidRDefault="00E252E3" w:rsidP="00E252E3">
      <w:pPr>
        <w:autoSpaceDE w:val="0"/>
        <w:autoSpaceDN w:val="0"/>
        <w:adjustRightInd w:val="0"/>
        <w:ind w:left="2844"/>
        <w:jc w:val="both"/>
        <w:rPr>
          <w:rFonts w:ascii="Verdana" w:hAnsi="Verdana" w:cs="Tahoma"/>
          <w:color w:val="000000"/>
          <w:szCs w:val="20"/>
        </w:rPr>
      </w:pPr>
    </w:p>
    <w:p w:rsidR="00072A49" w:rsidRPr="00E0569C" w:rsidRDefault="00072A49" w:rsidP="00072A49">
      <w:pPr>
        <w:pStyle w:val="Heading3"/>
        <w:numPr>
          <w:ilvl w:val="0"/>
          <w:numId w:val="0"/>
        </w:numPr>
        <w:ind w:left="1440"/>
        <w:rPr>
          <w:rFonts w:ascii="Verdana" w:hAnsi="Verdana"/>
          <w:szCs w:val="20"/>
        </w:rPr>
      </w:pPr>
    </w:p>
    <w:p w:rsidR="00E252E3" w:rsidRPr="00E0569C" w:rsidRDefault="00C20A50" w:rsidP="00E0569C">
      <w:pPr>
        <w:pStyle w:val="Heading3"/>
        <w:rPr>
          <w:rFonts w:ascii="Verdana" w:hAnsi="Verdana"/>
        </w:rPr>
      </w:pPr>
      <w:bookmarkStart w:id="56" w:name="_Toc349810404"/>
      <w:bookmarkStart w:id="57" w:name="_Toc350504673"/>
      <w:bookmarkStart w:id="58" w:name="_Toc354403045"/>
      <w:bookmarkStart w:id="59" w:name="_Toc354998626"/>
      <w:bookmarkStart w:id="60" w:name="_Toc435620775"/>
      <w:r>
        <w:rPr>
          <w:rFonts w:ascii="Verdana" w:hAnsi="Verdana"/>
        </w:rPr>
        <w:t>EBB je obrazložio tu procjenu rizika.</w:t>
      </w:r>
      <w:bookmarkEnd w:id="56"/>
      <w:bookmarkEnd w:id="57"/>
      <w:bookmarkEnd w:id="58"/>
      <w:bookmarkEnd w:id="59"/>
      <w:bookmarkEnd w:id="60"/>
    </w:p>
    <w:p w:rsidR="00072A49" w:rsidRPr="00E0569C" w:rsidRDefault="00072A49" w:rsidP="00E252E3">
      <w:pPr>
        <w:rPr>
          <w:rFonts w:ascii="Verdana" w:hAnsi="Verdana"/>
        </w:rPr>
      </w:pPr>
    </w:p>
    <w:p w:rsidR="00C50BC8" w:rsidRPr="0055765D" w:rsidRDefault="00C20A50" w:rsidP="00C50BC8">
      <w:pPr>
        <w:pStyle w:val="Heading3"/>
        <w:rPr>
          <w:rFonts w:ascii="Verdana" w:hAnsi="Verdana"/>
        </w:rPr>
      </w:pPr>
      <w:bookmarkStart w:id="61" w:name="_Toc350504674"/>
      <w:bookmarkStart w:id="62" w:name="_Toc354403046"/>
      <w:bookmarkStart w:id="63" w:name="_Toc354998627"/>
      <w:bookmarkStart w:id="64" w:name="_Toc435620776"/>
      <w:bookmarkStart w:id="65" w:name="_Toc349810405"/>
      <w:r>
        <w:rPr>
          <w:rFonts w:ascii="Verdana" w:hAnsi="Verdana"/>
        </w:rPr>
        <w:t xml:space="preserve">EBB je provjerio </w:t>
      </w:r>
      <w:r w:rsidR="00AD34C4">
        <w:rPr>
          <w:rFonts w:ascii="Verdana" w:hAnsi="Verdana"/>
        </w:rPr>
        <w:t>jesu li</w:t>
      </w:r>
      <w:r>
        <w:rPr>
          <w:rFonts w:ascii="Verdana" w:hAnsi="Verdana"/>
        </w:rPr>
        <w:t xml:space="preserve"> zakonodavstv</w:t>
      </w:r>
      <w:r w:rsidR="00AD34C4">
        <w:rPr>
          <w:rFonts w:ascii="Verdana" w:hAnsi="Verdana"/>
        </w:rPr>
        <w:t>om</w:t>
      </w:r>
      <w:r>
        <w:rPr>
          <w:rFonts w:ascii="Verdana" w:hAnsi="Verdana"/>
        </w:rPr>
        <w:t xml:space="preserve"> EU-a ili trgovački</w:t>
      </w:r>
      <w:r w:rsidR="00AD34C4">
        <w:rPr>
          <w:rFonts w:ascii="Verdana" w:hAnsi="Verdana"/>
        </w:rPr>
        <w:t>m</w:t>
      </w:r>
      <w:r>
        <w:rPr>
          <w:rFonts w:ascii="Verdana" w:hAnsi="Verdana"/>
        </w:rPr>
        <w:t xml:space="preserve"> norm</w:t>
      </w:r>
      <w:r w:rsidR="00AD34C4">
        <w:rPr>
          <w:rFonts w:ascii="Verdana" w:hAnsi="Verdana"/>
        </w:rPr>
        <w:t>ama</w:t>
      </w:r>
      <w:r>
        <w:rPr>
          <w:rFonts w:ascii="Verdana" w:hAnsi="Verdana"/>
        </w:rPr>
        <w:t xml:space="preserve"> </w:t>
      </w:r>
      <w:r w:rsidR="00AD34C4">
        <w:rPr>
          <w:rFonts w:ascii="Verdana" w:hAnsi="Verdana"/>
        </w:rPr>
        <w:t>utvrđene</w:t>
      </w:r>
      <w:r>
        <w:rPr>
          <w:rFonts w:ascii="Verdana" w:hAnsi="Verdana"/>
        </w:rPr>
        <w:t xml:space="preserve"> odgovarajuće </w:t>
      </w:r>
      <w:r w:rsidR="00AD34C4">
        <w:rPr>
          <w:rFonts w:ascii="Verdana" w:hAnsi="Verdana"/>
        </w:rPr>
        <w:t>granice</w:t>
      </w:r>
      <w:r>
        <w:rPr>
          <w:rFonts w:ascii="Verdana" w:hAnsi="Verdana"/>
        </w:rPr>
        <w:t xml:space="preserve"> u vezi s određenom opasnošću te</w:t>
      </w:r>
      <w:r w:rsidR="00FD6228">
        <w:rPr>
          <w:rFonts w:ascii="Verdana" w:hAnsi="Verdana"/>
        </w:rPr>
        <w:t xml:space="preserve"> ih je</w:t>
      </w:r>
      <w:r>
        <w:rPr>
          <w:rFonts w:ascii="Verdana" w:hAnsi="Verdana"/>
        </w:rPr>
        <w:t>, ako je to slučaj, stav</w:t>
      </w:r>
      <w:r w:rsidR="00FD6228">
        <w:rPr>
          <w:rFonts w:ascii="Verdana" w:hAnsi="Verdana"/>
        </w:rPr>
        <w:t>io</w:t>
      </w:r>
      <w:r>
        <w:rPr>
          <w:rFonts w:ascii="Verdana" w:hAnsi="Verdana"/>
        </w:rPr>
        <w:t xml:space="preserve"> na popis.</w:t>
      </w:r>
      <w:bookmarkEnd w:id="61"/>
      <w:bookmarkEnd w:id="62"/>
      <w:bookmarkEnd w:id="63"/>
      <w:bookmarkEnd w:id="64"/>
    </w:p>
    <w:bookmarkEnd w:id="65"/>
    <w:p w:rsidR="00E4063B" w:rsidRPr="00E0569C" w:rsidRDefault="00E4063B" w:rsidP="002E52C2">
      <w:pPr>
        <w:rPr>
          <w:rFonts w:ascii="Verdana" w:hAnsi="Verdana"/>
          <w:b/>
        </w:rPr>
      </w:pPr>
    </w:p>
    <w:p w:rsidR="00B631D4" w:rsidRPr="00C50BC8" w:rsidRDefault="00B631D4" w:rsidP="002E52C2">
      <w:pPr>
        <w:rPr>
          <w:rFonts w:ascii="Verdana" w:hAnsi="Verdana"/>
          <w:b/>
        </w:rPr>
      </w:pPr>
    </w:p>
    <w:p w:rsidR="002E52C2" w:rsidRPr="00C50BC8" w:rsidRDefault="002E52C2" w:rsidP="002E52C2">
      <w:pPr>
        <w:rPr>
          <w:rFonts w:ascii="Verdana" w:hAnsi="Verdana"/>
        </w:rPr>
      </w:pPr>
    </w:p>
    <w:p w:rsidR="008675C9" w:rsidRPr="00C50BC8" w:rsidRDefault="008675C9" w:rsidP="002E52C2">
      <w:pPr>
        <w:rPr>
          <w:rFonts w:ascii="Verdana" w:hAnsi="Verdana"/>
        </w:rPr>
        <w:sectPr w:rsidR="008675C9" w:rsidRPr="00C50BC8" w:rsidSect="007D3F9B">
          <w:headerReference w:type="default" r:id="rId20"/>
          <w:footerReference w:type="even" r:id="rId21"/>
          <w:footerReference w:type="default" r:id="rId22"/>
          <w:pgSz w:w="12240" w:h="15840"/>
          <w:pgMar w:top="1361" w:right="1701" w:bottom="1361" w:left="1701" w:header="720" w:footer="720" w:gutter="0"/>
          <w:cols w:space="720"/>
          <w:titlePg/>
          <w:docGrid w:linePitch="360"/>
        </w:sectPr>
      </w:pPr>
    </w:p>
    <w:p w:rsidR="008675C9" w:rsidRPr="00C50BC8" w:rsidRDefault="008675C9" w:rsidP="002E52C2">
      <w:pPr>
        <w:rPr>
          <w:rFonts w:ascii="Verdana" w:hAnsi="Verdana"/>
        </w:rPr>
      </w:pPr>
    </w:p>
    <w:p w:rsidR="008675C9" w:rsidRPr="00C50BC8" w:rsidRDefault="008675C9"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54"/>
        <w:gridCol w:w="948"/>
        <w:gridCol w:w="1418"/>
        <w:gridCol w:w="850"/>
        <w:gridCol w:w="2268"/>
        <w:gridCol w:w="2127"/>
        <w:gridCol w:w="2693"/>
        <w:gridCol w:w="1843"/>
      </w:tblGrid>
      <w:tr w:rsidR="00C724B8" w:rsidRPr="00300F3C" w:rsidTr="00DC50EA">
        <w:trPr>
          <w:trHeight w:val="429"/>
        </w:trPr>
        <w:tc>
          <w:tcPr>
            <w:tcW w:w="4928" w:type="dxa"/>
            <w:gridSpan w:val="4"/>
            <w:tcBorders>
              <w:bottom w:val="single" w:sz="4" w:space="0" w:color="auto"/>
            </w:tcBorders>
            <w:shd w:val="clear" w:color="auto" w:fill="0DA72A"/>
            <w:tcMar>
              <w:top w:w="57" w:type="dxa"/>
              <w:bottom w:w="57" w:type="dxa"/>
            </w:tcMar>
            <w:vAlign w:val="center"/>
          </w:tcPr>
          <w:p w:rsidR="00C724B8" w:rsidRPr="004831A2" w:rsidRDefault="00E80F73" w:rsidP="004831A2">
            <w:pPr>
              <w:pStyle w:val="Heading1"/>
              <w:numPr>
                <w:ilvl w:val="0"/>
                <w:numId w:val="0"/>
              </w:numPr>
              <w:rPr>
                <w:color w:val="FFFFFF" w:themeColor="background1"/>
                <w:sz w:val="32"/>
              </w:rPr>
            </w:pPr>
            <w:bookmarkStart w:id="66" w:name="_Toc354998629"/>
            <w:bookmarkStart w:id="67" w:name="_Toc435620777"/>
            <w:r>
              <w:rPr>
                <w:color w:val="FFFFFF" w:themeColor="background1"/>
                <w:sz w:val="32"/>
              </w:rPr>
              <w:t>8. Pristup temeljen na riziku za glicerin</w:t>
            </w:r>
            <w:bookmarkEnd w:id="66"/>
            <w:bookmarkEnd w:id="67"/>
          </w:p>
          <w:p w:rsidR="00C724B8" w:rsidRPr="00300F3C"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D80406" w:rsidRDefault="00127622" w:rsidP="00D80406">
            <w:pPr>
              <w:pStyle w:val="ListParagraph"/>
              <w:widowControl w:val="0"/>
              <w:numPr>
                <w:ilvl w:val="0"/>
                <w:numId w:val="38"/>
              </w:numPr>
              <w:rPr>
                <w:rFonts w:ascii="Verdana" w:hAnsi="Verdana" w:cs="Tahoma"/>
                <w:b/>
                <w:color w:val="FFFFFF"/>
                <w:sz w:val="28"/>
                <w:szCs w:val="28"/>
              </w:rPr>
            </w:pPr>
            <w:r>
              <w:rPr>
                <w:rFonts w:ascii="Verdana" w:hAnsi="Verdana"/>
                <w:b/>
                <w:color w:val="FFFFFF"/>
                <w:sz w:val="28"/>
              </w:rPr>
              <w:t>Opći rizik: prerada</w:t>
            </w:r>
            <w:r w:rsidR="00220777">
              <w:rPr>
                <w:rFonts w:ascii="Verdana" w:hAnsi="Verdana"/>
                <w:b/>
                <w:color w:val="FFFFFF"/>
                <w:sz w:val="28"/>
              </w:rPr>
              <w:t xml:space="preserve"> </w:t>
            </w:r>
            <w:proofErr w:type="spellStart"/>
            <w:r w:rsidR="00220777">
              <w:rPr>
                <w:rFonts w:ascii="Verdana" w:hAnsi="Verdana"/>
                <w:b/>
                <w:color w:val="FFFFFF"/>
                <w:sz w:val="28"/>
              </w:rPr>
              <w:t>biodizela</w:t>
            </w:r>
            <w:proofErr w:type="spellEnd"/>
          </w:p>
        </w:tc>
      </w:tr>
      <w:tr w:rsidR="00993467" w:rsidRPr="00300F3C" w:rsidTr="003E010C">
        <w:trPr>
          <w:trHeight w:val="536"/>
        </w:trPr>
        <w:tc>
          <w:tcPr>
            <w:tcW w:w="190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54"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94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8" w:type="dxa"/>
            <w:tcBorders>
              <w:bottom w:val="single" w:sz="4" w:space="0" w:color="auto"/>
            </w:tcBorders>
            <w:shd w:val="clear" w:color="auto" w:fill="0DA72A"/>
            <w:tcMar>
              <w:top w:w="28" w:type="dxa"/>
              <w:bottom w:w="28" w:type="dxa"/>
            </w:tcMar>
            <w:vAlign w:val="center"/>
          </w:tcPr>
          <w:p w:rsidR="00993467" w:rsidRPr="00300F3C" w:rsidRDefault="00993467" w:rsidP="004B2FB4">
            <w:pPr>
              <w:widowControl w:val="0"/>
              <w:spacing w:before="20" w:after="20"/>
              <w:rPr>
                <w:rFonts w:ascii="Verdana" w:hAnsi="Verdana" w:cs="Tahoma"/>
                <w:b/>
                <w:bCs/>
                <w:color w:val="FFFFFF"/>
                <w:sz w:val="14"/>
                <w:szCs w:val="14"/>
              </w:rPr>
            </w:pPr>
            <w:r>
              <w:rPr>
                <w:rFonts w:ascii="Verdana" w:hAnsi="Verdana"/>
                <w:b/>
                <w:color w:val="FFFFFF"/>
                <w:sz w:val="14"/>
              </w:rPr>
              <w:t xml:space="preserve">OZBILJNOST </w:t>
            </w:r>
          </w:p>
        </w:tc>
        <w:tc>
          <w:tcPr>
            <w:tcW w:w="850"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26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2127" w:type="dxa"/>
            <w:tcBorders>
              <w:bottom w:val="single" w:sz="4" w:space="0" w:color="auto"/>
            </w:tcBorders>
            <w:shd w:val="clear" w:color="auto" w:fill="0DA72A"/>
            <w:tcMar>
              <w:top w:w="28" w:type="dxa"/>
              <w:bottom w:w="28" w:type="dxa"/>
            </w:tcMar>
            <w:vAlign w:val="center"/>
          </w:tcPr>
          <w:p w:rsidR="00993467" w:rsidRPr="00300F3C" w:rsidRDefault="00993467" w:rsidP="00D117A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w:t>
            </w:r>
          </w:p>
        </w:tc>
        <w:tc>
          <w:tcPr>
            <w:tcW w:w="269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184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993467" w:rsidRPr="00300F3C" w:rsidTr="003E010C">
        <w:trPr>
          <w:trHeight w:val="751"/>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Kakvoća vode</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K/B/F</w:t>
            </w:r>
          </w:p>
        </w:tc>
        <w:tc>
          <w:tcPr>
            <w:tcW w:w="948"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3E010C" w:rsidRDefault="00993467" w:rsidP="00AD370B">
            <w:pPr>
              <w:rPr>
                <w:rFonts w:ascii="Verdana" w:hAnsi="Verdana" w:cs="Tahoma"/>
                <w:sz w:val="16"/>
                <w:szCs w:val="16"/>
              </w:rPr>
            </w:pPr>
            <w:r>
              <w:rPr>
                <w:rFonts w:ascii="Verdana" w:hAnsi="Verdana"/>
                <w:sz w:val="16"/>
              </w:rPr>
              <w:t>Voda se upotrebljava u proizvodnji biodizela.</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rPr>
                <w:rFonts w:ascii="Verdana" w:hAnsi="Verdana" w:cs="Tahoma"/>
                <w:sz w:val="16"/>
                <w:szCs w:val="16"/>
              </w:rPr>
            </w:pPr>
            <w:r>
              <w:rPr>
                <w:rFonts w:ascii="Verdana" w:hAnsi="Verdana"/>
                <w:sz w:val="16"/>
              </w:rPr>
              <w:t>U skladu s Uredbom 183/2005/EZ kakvoća vode koja se upotrebljava u proizvodnji hrane za životinje mora biti odgovarajuća.</w:t>
            </w: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iCs/>
                <w:sz w:val="16"/>
                <w:szCs w:val="16"/>
              </w:rPr>
            </w:pPr>
            <w:r>
              <w:rPr>
                <w:rFonts w:ascii="Verdana" w:hAnsi="Verdana"/>
                <w:sz w:val="16"/>
              </w:rPr>
              <w:t>Primijeniti odgovarajuću pitku vodu.</w:t>
            </w:r>
          </w:p>
          <w:p w:rsidR="00993467" w:rsidRPr="003E010C" w:rsidRDefault="00993467" w:rsidP="004E54A8">
            <w:pPr>
              <w:widowControl w:val="0"/>
              <w:rPr>
                <w:rFonts w:ascii="Verdana" w:hAnsi="Verdana" w:cs="Tahoma"/>
                <w:iCs/>
                <w:sz w:val="16"/>
                <w:szCs w:val="16"/>
              </w:rPr>
            </w:pPr>
          </w:p>
          <w:p w:rsidR="00993467" w:rsidRPr="003E010C" w:rsidRDefault="00993467" w:rsidP="004E54A8">
            <w:pPr>
              <w:widowControl w:val="0"/>
              <w:rPr>
                <w:rFonts w:ascii="Verdana" w:hAnsi="Verdana" w:cs="Tahoma"/>
                <w:iCs/>
                <w:sz w:val="16"/>
                <w:szCs w:val="16"/>
              </w:rPr>
            </w:pPr>
            <w:r>
              <w:rPr>
                <w:rFonts w:ascii="Verdana" w:hAnsi="Verdana"/>
                <w:sz w:val="16"/>
              </w:rPr>
              <w:t>Odrediti vodene tokove</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tc>
      </w:tr>
      <w:tr w:rsidR="00993467" w:rsidRPr="00300F3C" w:rsidTr="003E010C">
        <w:trPr>
          <w:trHeight w:val="1133"/>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r>
              <w:rPr>
                <w:rFonts w:ascii="Verdana" w:hAnsi="Verdana"/>
                <w:b/>
                <w:sz w:val="16"/>
              </w:rPr>
              <w:t xml:space="preserve">Sredstva za čišćenje </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K</w:t>
            </w:r>
          </w:p>
        </w:tc>
        <w:tc>
          <w:tcPr>
            <w:tcW w:w="94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umjerena</w:t>
            </w:r>
          </w:p>
        </w:tc>
        <w:tc>
          <w:tcPr>
            <w:tcW w:w="850"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4E54A8">
            <w:pPr>
              <w:widowControl w:val="0"/>
              <w:rPr>
                <w:rFonts w:ascii="Verdana" w:hAnsi="Verdana" w:cs="Tahoma"/>
                <w:sz w:val="16"/>
                <w:szCs w:val="16"/>
              </w:rPr>
            </w:pPr>
            <w:r>
              <w:rPr>
                <w:rFonts w:ascii="Verdana" w:hAnsi="Verdana"/>
                <w:sz w:val="16"/>
              </w:rPr>
              <w:t>Sredstvo za čišćenje došlo je u dodir s proizvodom.</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4B2FB4">
            <w:pPr>
              <w:widowControl w:val="0"/>
              <w:rPr>
                <w:rFonts w:ascii="Verdana" w:hAnsi="Verdana" w:cs="Tahoma"/>
                <w:sz w:val="16"/>
                <w:szCs w:val="16"/>
              </w:rPr>
            </w:pPr>
            <w:r>
              <w:rPr>
                <w:rFonts w:ascii="Verdana" w:hAnsi="Verdana"/>
                <w:sz w:val="16"/>
              </w:rPr>
              <w:t xml:space="preserve">Sredstva za čišćenje koja su se upotrijebila u proizvodnom sustavu trebala bi se isprati mlazom vode. Sredstva za čišćenje moraju se ocijeniti te se trebaju poduzeti odgovarajuće mjere kako bi se rizici smanjili na prihvatljive razine. </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p w:rsidR="004B2FB4" w:rsidRPr="003E010C" w:rsidRDefault="004B2FB4" w:rsidP="004E54A8">
            <w:pPr>
              <w:widowControl w:val="0"/>
              <w:rPr>
                <w:rFonts w:ascii="Verdana" w:hAnsi="Verdana" w:cs="Arial Narrow"/>
                <w:sz w:val="16"/>
                <w:szCs w:val="16"/>
              </w:rPr>
            </w:pPr>
            <w:r>
              <w:rPr>
                <w:rFonts w:ascii="Verdana" w:hAnsi="Verdana"/>
                <w:sz w:val="16"/>
              </w:rPr>
              <w:t>Nije čest rizik jer se u većini proizvodnih postrojenja provodi neprekidan proces</w:t>
            </w:r>
          </w:p>
        </w:tc>
      </w:tr>
      <w:tr w:rsidR="00993467" w:rsidRPr="00300F3C" w:rsidTr="00494D0C">
        <w:trPr>
          <w:trHeight w:val="479"/>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Ulijetanje ptica</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948" w:type="dxa"/>
            <w:tcBorders>
              <w:top w:val="single" w:sz="4" w:space="0" w:color="auto"/>
              <w:bottom w:val="single" w:sz="4" w:space="0" w:color="auto"/>
            </w:tcBorders>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 xml:space="preserve"> mala</w:t>
            </w:r>
          </w:p>
        </w:tc>
        <w:tc>
          <w:tcPr>
            <w:tcW w:w="141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umjerena</w:t>
            </w:r>
          </w:p>
        </w:tc>
        <w:tc>
          <w:tcPr>
            <w:tcW w:w="850" w:type="dxa"/>
            <w:tcBorders>
              <w:top w:val="single" w:sz="4" w:space="0" w:color="auto"/>
              <w:bottom w:val="single" w:sz="4" w:space="0" w:color="auto"/>
            </w:tcBorders>
            <w:shd w:val="clear" w:color="auto" w:fill="auto"/>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993467" w:rsidRPr="003E010C" w:rsidRDefault="004A2A8A" w:rsidP="004A2A8A">
            <w:pPr>
              <w:widowControl w:val="0"/>
              <w:rPr>
                <w:rFonts w:ascii="Verdana" w:hAnsi="Verdana" w:cs="Arial Narrow"/>
                <w:sz w:val="16"/>
                <w:szCs w:val="16"/>
              </w:rPr>
            </w:pPr>
            <w:r>
              <w:rPr>
                <w:rFonts w:ascii="Verdana" w:hAnsi="Verdana"/>
                <w:sz w:val="16"/>
              </w:rPr>
              <w:t>Ova se opasnost može spriječiti zatvorenom zgradom.</w:t>
            </w:r>
          </w:p>
        </w:tc>
      </w:tr>
      <w:tr w:rsidR="00993467" w:rsidRPr="00300F3C" w:rsidTr="003E010C">
        <w:trPr>
          <w:trHeight w:val="816"/>
        </w:trPr>
        <w:tc>
          <w:tcPr>
            <w:tcW w:w="190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Toksini iz materijala za suzbijanje štetnika</w:t>
            </w:r>
          </w:p>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p>
        </w:tc>
        <w:tc>
          <w:tcPr>
            <w:tcW w:w="654"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K</w:t>
            </w:r>
          </w:p>
          <w:p w:rsidR="00993467" w:rsidRPr="003E010C" w:rsidRDefault="00993467" w:rsidP="00DC50EA">
            <w:pPr>
              <w:widowControl w:val="0"/>
              <w:rPr>
                <w:rFonts w:ascii="Verdana" w:hAnsi="Verdana" w:cs="Tahoma"/>
                <w:sz w:val="16"/>
                <w:szCs w:val="16"/>
              </w:rPr>
            </w:pPr>
          </w:p>
        </w:tc>
        <w:tc>
          <w:tcPr>
            <w:tcW w:w="94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FF185B" w:rsidP="004E54A8">
            <w:pPr>
              <w:widowControl w:val="0"/>
              <w:jc w:val="center"/>
              <w:rPr>
                <w:rFonts w:ascii="Verdana" w:hAnsi="Verdana" w:cs="Tahoma"/>
                <w:sz w:val="16"/>
                <w:szCs w:val="16"/>
              </w:rPr>
            </w:pPr>
            <w:r>
              <w:rPr>
                <w:rFonts w:ascii="Verdana" w:hAnsi="Verdana"/>
                <w:sz w:val="16"/>
              </w:rPr>
              <w:t>vrlo mala</w:t>
            </w:r>
          </w:p>
          <w:p w:rsidR="00993467" w:rsidRPr="003E010C" w:rsidRDefault="00993467" w:rsidP="00DC50EA">
            <w:pPr>
              <w:widowControl w:val="0"/>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velika</w:t>
            </w:r>
          </w:p>
          <w:p w:rsidR="00993467" w:rsidRPr="003E010C" w:rsidRDefault="00993467" w:rsidP="00DC50EA">
            <w:pPr>
              <w:widowControl w:val="0"/>
              <w:rPr>
                <w:rFonts w:ascii="Verdana" w:hAnsi="Verdana" w:cs="Tahoma"/>
                <w:sz w:val="16"/>
                <w:szCs w:val="16"/>
              </w:rPr>
            </w:pPr>
          </w:p>
        </w:tc>
        <w:tc>
          <w:tcPr>
            <w:tcW w:w="850"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2</w:t>
            </w:r>
          </w:p>
          <w:p w:rsidR="00993467" w:rsidRPr="003E010C" w:rsidRDefault="00993467" w:rsidP="004E54A8">
            <w:pPr>
              <w:widowControl w:val="0"/>
              <w:jc w:val="center"/>
              <w:rPr>
                <w:rFonts w:ascii="Verdana" w:hAnsi="Verdana" w:cs="Tahoma"/>
                <w:sz w:val="16"/>
                <w:szCs w:val="16"/>
              </w:rPr>
            </w:pPr>
          </w:p>
          <w:p w:rsidR="00993467" w:rsidRPr="003E010C" w:rsidRDefault="00993467" w:rsidP="00DC50EA">
            <w:pPr>
              <w:widowControl w:val="0"/>
              <w:rPr>
                <w:rFonts w:ascii="Verdana" w:hAnsi="Verdana" w:cs="Tahoma"/>
                <w:sz w:val="16"/>
                <w:szCs w:val="16"/>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6221FD">
            <w:pPr>
              <w:widowControl w:val="0"/>
              <w:rPr>
                <w:rFonts w:ascii="Verdana" w:hAnsi="Verdana" w:cs="Tahoma"/>
                <w:sz w:val="16"/>
                <w:szCs w:val="16"/>
              </w:rPr>
            </w:pPr>
            <w:r>
              <w:rPr>
                <w:rFonts w:ascii="Verdana" w:hAnsi="Verdana"/>
                <w:sz w:val="16"/>
              </w:rPr>
              <w:t>Mamci s otrovima iz otvorenih kutija mogli bi prouzročiti unakrsnu kontaminaciju</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F9305F">
            <w:pPr>
              <w:widowControl w:val="0"/>
              <w:rPr>
                <w:rFonts w:ascii="Verdana" w:hAnsi="Verdana" w:cs="Tahoma"/>
                <w:sz w:val="16"/>
                <w:szCs w:val="16"/>
              </w:rPr>
            </w:pPr>
            <w:r>
              <w:rPr>
                <w:rFonts w:ascii="Verdana" w:hAnsi="Verdana"/>
                <w:sz w:val="16"/>
              </w:rPr>
              <w:t xml:space="preserve">Mora se primijeniti program za suzbijanje štetnika. Trebale bi se poduzeti odgovarajuće mjere kako bi se rizik sveo na najmanju moguću mjeru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p w:rsidR="00993467" w:rsidRPr="003E010C" w:rsidRDefault="00993467" w:rsidP="004E54A8">
            <w:pPr>
              <w:widowControl w:val="0"/>
              <w:rPr>
                <w:rFonts w:ascii="Verdana" w:hAnsi="Verdana" w:cs="Arial Narrow"/>
                <w:sz w:val="16"/>
                <w:szCs w:val="16"/>
              </w:rPr>
            </w:pPr>
          </w:p>
        </w:tc>
      </w:tr>
      <w:tr w:rsidR="00DC50EA" w:rsidRPr="00300F3C" w:rsidTr="00494D0C">
        <w:trPr>
          <w:trHeight w:val="751"/>
        </w:trPr>
        <w:tc>
          <w:tcPr>
            <w:tcW w:w="1908" w:type="dxa"/>
            <w:tcBorders>
              <w:top w:val="single" w:sz="4" w:space="0" w:color="auto"/>
              <w:bottom w:val="single" w:sz="4" w:space="0" w:color="auto"/>
            </w:tcBorders>
            <w:shd w:val="clear" w:color="auto" w:fill="auto"/>
            <w:tcMar>
              <w:top w:w="85" w:type="dxa"/>
              <w:bottom w:w="85" w:type="dxa"/>
            </w:tcMar>
          </w:tcPr>
          <w:p w:rsidR="00DC50EA" w:rsidRPr="003E010C" w:rsidRDefault="00DC50EA" w:rsidP="00DC50EA">
            <w:pPr>
              <w:widowControl w:val="0"/>
              <w:rPr>
                <w:rFonts w:ascii="Verdana" w:hAnsi="Verdana" w:cs="Tahoma"/>
                <w:b/>
                <w:bCs/>
                <w:sz w:val="16"/>
                <w:szCs w:val="16"/>
              </w:rPr>
            </w:pPr>
            <w:r>
              <w:rPr>
                <w:rFonts w:ascii="Verdana" w:hAnsi="Verdana"/>
                <w:b/>
                <w:sz w:val="16"/>
              </w:rPr>
              <w:t>Maziva</w:t>
            </w:r>
          </w:p>
          <w:p w:rsidR="00DC50EA" w:rsidRPr="003E010C" w:rsidRDefault="00DC50EA" w:rsidP="004E54A8">
            <w:pPr>
              <w:widowControl w:val="0"/>
              <w:rPr>
                <w:rFonts w:ascii="Verdana" w:hAnsi="Verdana" w:cs="Tahoma"/>
                <w:b/>
                <w:bCs/>
                <w:sz w:val="16"/>
                <w:szCs w:val="16"/>
              </w:rPr>
            </w:pPr>
          </w:p>
        </w:tc>
        <w:tc>
          <w:tcPr>
            <w:tcW w:w="654"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jc w:val="center"/>
              <w:rPr>
                <w:rFonts w:ascii="Verdana" w:hAnsi="Verdana" w:cs="Tahoma"/>
                <w:sz w:val="16"/>
                <w:szCs w:val="16"/>
              </w:rPr>
            </w:pPr>
            <w:r>
              <w:rPr>
                <w:rFonts w:ascii="Verdana" w:hAnsi="Verdana"/>
                <w:sz w:val="16"/>
              </w:rPr>
              <w:t>K</w:t>
            </w:r>
          </w:p>
        </w:tc>
        <w:tc>
          <w:tcPr>
            <w:tcW w:w="948" w:type="dxa"/>
            <w:tcBorders>
              <w:top w:val="single" w:sz="4" w:space="0" w:color="auto"/>
              <w:bottom w:val="single" w:sz="4" w:space="0" w:color="auto"/>
            </w:tcBorders>
            <w:shd w:val="clear" w:color="auto" w:fill="auto"/>
            <w:tcMar>
              <w:top w:w="85" w:type="dxa"/>
              <w:bottom w:w="85" w:type="dxa"/>
            </w:tcMar>
          </w:tcPr>
          <w:p w:rsidR="00DC50EA" w:rsidRPr="003E010C" w:rsidRDefault="00DC50EA" w:rsidP="00D13F4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shd w:val="clear" w:color="auto" w:fill="auto"/>
            <w:tcMar>
              <w:top w:w="85" w:type="dxa"/>
              <w:bottom w:w="85" w:type="dxa"/>
            </w:tcMar>
          </w:tcPr>
          <w:p w:rsidR="00DC50EA" w:rsidRPr="003E010C" w:rsidRDefault="004A2A8A" w:rsidP="004E54A8">
            <w:pPr>
              <w:widowControl w:val="0"/>
              <w:jc w:val="center"/>
              <w:rPr>
                <w:rFonts w:ascii="Verdana" w:hAnsi="Verdana" w:cs="Tahoma"/>
                <w:sz w:val="16"/>
                <w:szCs w:val="16"/>
              </w:rPr>
            </w:pPr>
            <w:r>
              <w:rPr>
                <w:rFonts w:ascii="Verdana" w:hAnsi="Verdana"/>
                <w:sz w:val="16"/>
              </w:rPr>
              <w:t xml:space="preserve"> velika</w:t>
            </w:r>
          </w:p>
        </w:tc>
        <w:tc>
          <w:tcPr>
            <w:tcW w:w="850" w:type="dxa"/>
            <w:tcBorders>
              <w:top w:val="single" w:sz="4" w:space="0" w:color="auto"/>
              <w:bottom w:val="single" w:sz="4" w:space="0" w:color="auto"/>
            </w:tcBorders>
            <w:shd w:val="clear" w:color="auto" w:fill="FFC000"/>
            <w:tcMar>
              <w:top w:w="85" w:type="dxa"/>
              <w:bottom w:w="85" w:type="dxa"/>
            </w:tcMar>
          </w:tcPr>
          <w:p w:rsidR="00DC50EA" w:rsidRPr="003E010C" w:rsidRDefault="00494D0C" w:rsidP="00494D0C">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50EA" w:rsidRPr="003E010C" w:rsidRDefault="00DC50EA" w:rsidP="006221FD">
            <w:pPr>
              <w:widowControl w:val="0"/>
              <w:rPr>
                <w:rFonts w:ascii="Verdana" w:hAnsi="Verdana" w:cs="Tahoma"/>
                <w:sz w:val="16"/>
                <w:szCs w:val="16"/>
              </w:rPr>
            </w:pPr>
            <w:r>
              <w:rPr>
                <w:rFonts w:ascii="Verdana" w:hAnsi="Verdana"/>
                <w:sz w:val="16"/>
              </w:rPr>
              <w:t>Maziva bi se prije upotrebe trebala ocijeniti te bi se trebale poduzeti odgovarajuće mjere kako bi se rizici smanjili na prihvatljive razine</w:t>
            </w:r>
          </w:p>
        </w:tc>
        <w:tc>
          <w:tcPr>
            <w:tcW w:w="1843"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Arial Narrow"/>
                <w:sz w:val="16"/>
                <w:szCs w:val="16"/>
              </w:rPr>
            </w:pPr>
            <w:r>
              <w:rPr>
                <w:rFonts w:ascii="Verdana" w:hAnsi="Verdana"/>
                <w:sz w:val="16"/>
              </w:rPr>
              <w:t>Specifikacije o kupnji. Rizik je mali jer se ulja prije upotrebe provjeravaju</w:t>
            </w:r>
          </w:p>
        </w:tc>
      </w:tr>
      <w:tr w:rsidR="00993467" w:rsidRPr="00300F3C"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lastRenderedPageBreak/>
              <w:t>Insekti i glodavci</w:t>
            </w:r>
          </w:p>
        </w:tc>
        <w:tc>
          <w:tcPr>
            <w:tcW w:w="654"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94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umjerena</w:t>
            </w:r>
          </w:p>
        </w:tc>
        <w:tc>
          <w:tcPr>
            <w:tcW w:w="141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mala</w:t>
            </w:r>
          </w:p>
        </w:tc>
        <w:tc>
          <w:tcPr>
            <w:tcW w:w="850"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sz w:val="16"/>
                <w:szCs w:val="16"/>
              </w:rPr>
            </w:pPr>
            <w:r>
              <w:rPr>
                <w:rFonts w:ascii="Verdana" w:hAnsi="Verdana"/>
                <w:sz w:val="16"/>
              </w:rPr>
              <w:t>Izoliranje zgrada, programi čišćenja i sustavi suzbijanja štetnika kao dio preduvjetnog programa</w:t>
            </w:r>
          </w:p>
        </w:tc>
        <w:tc>
          <w:tcPr>
            <w:tcW w:w="1843"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Arial Narrow"/>
                <w:sz w:val="16"/>
                <w:szCs w:val="16"/>
              </w:rPr>
            </w:pPr>
          </w:p>
        </w:tc>
      </w:tr>
      <w:tr w:rsidR="00BA26DA" w:rsidRPr="00300F3C"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BA26DA" w:rsidRPr="003E010C" w:rsidRDefault="00A31C4F" w:rsidP="00A31C4F">
            <w:pPr>
              <w:widowControl w:val="0"/>
              <w:rPr>
                <w:rFonts w:ascii="Verdana" w:hAnsi="Verdana" w:cs="Tahoma"/>
                <w:b/>
                <w:bCs/>
                <w:sz w:val="16"/>
                <w:szCs w:val="16"/>
              </w:rPr>
            </w:pPr>
            <w:r>
              <w:rPr>
                <w:rFonts w:ascii="Verdana" w:hAnsi="Verdana"/>
                <w:b/>
                <w:sz w:val="16"/>
              </w:rPr>
              <w:t>Unakrsna kontaminacija zbog postupanja s prethodnim proizvodom</w:t>
            </w:r>
          </w:p>
        </w:tc>
        <w:tc>
          <w:tcPr>
            <w:tcW w:w="654"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K/B/F</w:t>
            </w:r>
          </w:p>
        </w:tc>
        <w:tc>
          <w:tcPr>
            <w:tcW w:w="948"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BA26DA" w:rsidRPr="003E010C" w:rsidRDefault="00CF1843" w:rsidP="00384D26">
            <w:pPr>
              <w:widowControl w:val="0"/>
              <w:rPr>
                <w:rFonts w:ascii="Verdana" w:hAnsi="Verdana" w:cs="Tahoma"/>
                <w:sz w:val="16"/>
                <w:szCs w:val="16"/>
              </w:rPr>
            </w:pPr>
            <w:r>
              <w:rPr>
                <w:rFonts w:ascii="Verdana" w:hAnsi="Verdana"/>
                <w:sz w:val="16"/>
              </w:rPr>
              <w:t xml:space="preserve">Unakrsna je kontaminacija niska ako je subjekt dokazao da su provedeni postupci ispiranja mlazom vode i čišćenja učinkoviti </w:t>
            </w:r>
          </w:p>
        </w:tc>
        <w:tc>
          <w:tcPr>
            <w:tcW w:w="2127" w:type="dxa"/>
            <w:tcBorders>
              <w:top w:val="single" w:sz="4" w:space="0" w:color="auto"/>
              <w:bottom w:val="single" w:sz="4" w:space="0" w:color="auto"/>
            </w:tcBorders>
            <w:shd w:val="clear" w:color="auto" w:fill="auto"/>
            <w:tcMar>
              <w:top w:w="85" w:type="dxa"/>
              <w:bottom w:w="85" w:type="dxa"/>
            </w:tcMar>
          </w:tcPr>
          <w:p w:rsidR="00BA26DA" w:rsidRPr="003E010C" w:rsidRDefault="00BA26D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BA26DA" w:rsidRPr="003E010C" w:rsidRDefault="00CF1843" w:rsidP="004E54A8">
            <w:pPr>
              <w:widowControl w:val="0"/>
              <w:rPr>
                <w:rFonts w:ascii="Verdana" w:hAnsi="Verdana" w:cs="Tahoma"/>
                <w:sz w:val="16"/>
                <w:szCs w:val="16"/>
              </w:rPr>
            </w:pPr>
            <w:r>
              <w:rPr>
                <w:rFonts w:ascii="Verdana" w:hAnsi="Verdana"/>
                <w:sz w:val="16"/>
              </w:rPr>
              <w:t>Mora se ispuniti strogi protokol naveden u planu HACCP-a:i. prihvatljivo trajanje rada s novim uljima i ii. revizija treće strane</w:t>
            </w:r>
          </w:p>
        </w:tc>
        <w:tc>
          <w:tcPr>
            <w:tcW w:w="1843" w:type="dxa"/>
            <w:tcBorders>
              <w:top w:val="single" w:sz="4" w:space="0" w:color="auto"/>
              <w:bottom w:val="single" w:sz="4" w:space="0" w:color="auto"/>
            </w:tcBorders>
            <w:shd w:val="clear" w:color="auto" w:fill="auto"/>
            <w:tcMar>
              <w:top w:w="85" w:type="dxa"/>
              <w:bottom w:w="85" w:type="dxa"/>
            </w:tcMar>
          </w:tcPr>
          <w:p w:rsidR="00BA26DA" w:rsidRPr="003E010C" w:rsidRDefault="00A31C4F" w:rsidP="004E54A8">
            <w:pPr>
              <w:widowControl w:val="0"/>
              <w:rPr>
                <w:rFonts w:ascii="Verdana" w:hAnsi="Verdana" w:cs="Arial Narrow"/>
                <w:sz w:val="16"/>
                <w:szCs w:val="16"/>
              </w:rPr>
            </w:pPr>
            <w:r>
              <w:rPr>
                <w:rFonts w:ascii="Verdana" w:hAnsi="Verdana"/>
                <w:sz w:val="16"/>
              </w:rPr>
              <w:t>Pogon koji se bavi s više sirovina, a želi raditi sa svježim uljima nakon razdoblja prerade životinjske masti kategorije 1 ili kategorije 2 ili upotrijebljenih ulja za kuhanje iz ugostiteljskog otpada</w:t>
            </w:r>
          </w:p>
        </w:tc>
      </w:tr>
    </w:tbl>
    <w:p w:rsidR="00E33DAE" w:rsidRDefault="00E33DAE" w:rsidP="002E52C2">
      <w:pPr>
        <w:rPr>
          <w:rFonts w:ascii="Verdana" w:hAnsi="Verdana"/>
        </w:rPr>
      </w:pPr>
    </w:p>
    <w:p w:rsidR="00224937" w:rsidRPr="00E016F1" w:rsidRDefault="00224937" w:rsidP="002E52C2">
      <w:pPr>
        <w:rPr>
          <w:rFonts w:ascii="Verdana" w:hAnsi="Verdana"/>
        </w:rPr>
      </w:pPr>
    </w:p>
    <w:p w:rsidR="00300F3C" w:rsidRPr="00E016F1" w:rsidRDefault="00300F3C" w:rsidP="002E52C2">
      <w:pPr>
        <w:rPr>
          <w:rFonts w:ascii="Verdana" w:hAnsi="Verdana"/>
        </w:rPr>
      </w:pPr>
    </w:p>
    <w:p w:rsidR="00E33DAE" w:rsidRPr="00E016F1" w:rsidRDefault="00E33DAE"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46"/>
        <w:gridCol w:w="979"/>
        <w:gridCol w:w="1418"/>
        <w:gridCol w:w="850"/>
        <w:gridCol w:w="2268"/>
        <w:gridCol w:w="1985"/>
        <w:gridCol w:w="2551"/>
        <w:gridCol w:w="2127"/>
      </w:tblGrid>
      <w:tr w:rsidR="00C724B8" w:rsidRPr="00073614" w:rsidTr="00993467">
        <w:trPr>
          <w:trHeight w:val="145"/>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Pristup temeljen na riziku za glicerin</w:t>
            </w:r>
          </w:p>
          <w:p w:rsidR="00C724B8" w:rsidRPr="00073614"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073614" w:rsidRDefault="00C724B8" w:rsidP="004E54A8">
            <w:pPr>
              <w:widowControl w:val="0"/>
              <w:rPr>
                <w:rFonts w:ascii="Verdana" w:hAnsi="Verdana" w:cs="Tahoma"/>
                <w:b/>
                <w:color w:val="FFFFFF"/>
                <w:sz w:val="28"/>
                <w:szCs w:val="28"/>
              </w:rPr>
            </w:pPr>
            <w:r>
              <w:rPr>
                <w:rFonts w:ascii="Verdana" w:hAnsi="Verdana"/>
                <w:b/>
                <w:color w:val="FFFFFF"/>
                <w:sz w:val="28"/>
              </w:rPr>
              <w:t>2. Zaprimanje biljnih ulja krmiva</w:t>
            </w:r>
          </w:p>
        </w:tc>
      </w:tr>
      <w:tr w:rsidR="00993467" w:rsidRPr="00073614" w:rsidTr="00993467">
        <w:trPr>
          <w:trHeight w:val="145"/>
        </w:trPr>
        <w:tc>
          <w:tcPr>
            <w:tcW w:w="1885"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46"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979"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8"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0"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268"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985" w:type="dxa"/>
            <w:tcBorders>
              <w:bottom w:val="single" w:sz="4" w:space="0" w:color="auto"/>
            </w:tcBorders>
            <w:shd w:val="clear" w:color="auto" w:fill="0DA72A"/>
            <w:tcMar>
              <w:top w:w="28" w:type="dxa"/>
              <w:bottom w:w="28" w:type="dxa"/>
            </w:tcMar>
            <w:vAlign w:val="center"/>
          </w:tcPr>
          <w:p w:rsidR="00993467" w:rsidRPr="00073614" w:rsidRDefault="00993467" w:rsidP="00073614">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w:t>
            </w:r>
          </w:p>
        </w:tc>
        <w:tc>
          <w:tcPr>
            <w:tcW w:w="2551"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127"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993467" w:rsidRPr="00073614" w:rsidTr="00F81C3B">
        <w:trPr>
          <w:trHeight w:val="145"/>
        </w:trPr>
        <w:tc>
          <w:tcPr>
            <w:tcW w:w="1885" w:type="dxa"/>
            <w:tcBorders>
              <w:bottom w:val="single" w:sz="4" w:space="0" w:color="auto"/>
            </w:tcBorders>
            <w:tcMar>
              <w:top w:w="85" w:type="dxa"/>
              <w:bottom w:w="85" w:type="dxa"/>
            </w:tcMar>
          </w:tcPr>
          <w:p w:rsidR="00993467" w:rsidRPr="0055765D" w:rsidRDefault="00993467" w:rsidP="00F13477">
            <w:pPr>
              <w:widowControl w:val="0"/>
              <w:rPr>
                <w:rFonts w:ascii="Verdana" w:hAnsi="Verdana" w:cs="Tahoma"/>
                <w:b/>
                <w:bCs/>
                <w:sz w:val="16"/>
                <w:szCs w:val="16"/>
              </w:rPr>
            </w:pPr>
            <w:r>
              <w:rPr>
                <w:rFonts w:ascii="Verdana" w:hAnsi="Verdana"/>
                <w:b/>
                <w:sz w:val="16"/>
              </w:rPr>
              <w:t>Kontaminacija prethodnim teretom tijekom prijevoza kamionom ili teglenicom ili prekooceanskim plovilom</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mala</w:t>
            </w:r>
          </w:p>
        </w:tc>
        <w:tc>
          <w:tcPr>
            <w:tcW w:w="1418" w:type="dxa"/>
            <w:tcBorders>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0" w:type="dxa"/>
            <w:tcBorders>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bottom w:val="single" w:sz="4" w:space="0" w:color="auto"/>
            </w:tcBorders>
            <w:tcMar>
              <w:top w:w="85" w:type="dxa"/>
              <w:bottom w:w="85" w:type="dxa"/>
            </w:tcMar>
          </w:tcPr>
          <w:p w:rsidR="006221FD" w:rsidRPr="0055765D" w:rsidRDefault="00993467" w:rsidP="006221FD">
            <w:pPr>
              <w:rPr>
                <w:rFonts w:ascii="Verdana" w:hAnsi="Verdana"/>
                <w:sz w:val="16"/>
                <w:szCs w:val="16"/>
              </w:rPr>
            </w:pPr>
            <w:r>
              <w:rPr>
                <w:rFonts w:ascii="Verdana" w:hAnsi="Verdana"/>
                <w:sz w:val="16"/>
              </w:rPr>
              <w:t>Biljna ulja obično se prevoze namjenskim prijevoznim sredstvima</w:t>
            </w:r>
          </w:p>
          <w:p w:rsidR="00993467" w:rsidRPr="0055765D" w:rsidRDefault="00993467" w:rsidP="004E54A8">
            <w:pPr>
              <w:widowControl w:val="0"/>
              <w:rPr>
                <w:rFonts w:ascii="Verdana" w:hAnsi="Verdana" w:cs="Tahoma"/>
                <w:sz w:val="16"/>
                <w:szCs w:val="16"/>
              </w:rPr>
            </w:pPr>
          </w:p>
        </w:tc>
        <w:tc>
          <w:tcPr>
            <w:tcW w:w="1985" w:type="dxa"/>
            <w:tcBorders>
              <w:bottom w:val="single" w:sz="4" w:space="0" w:color="auto"/>
            </w:tcBorders>
            <w:tcMar>
              <w:top w:w="85" w:type="dxa"/>
              <w:bottom w:w="85" w:type="dxa"/>
            </w:tcMar>
          </w:tcPr>
          <w:p w:rsidR="00993467" w:rsidRPr="0055765D" w:rsidRDefault="00993467" w:rsidP="006221FD">
            <w:pPr>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6221FD" w:rsidP="004E54A8">
            <w:pPr>
              <w:widowControl w:val="0"/>
              <w:rPr>
                <w:rFonts w:ascii="Verdana" w:hAnsi="Verdana"/>
                <w:sz w:val="16"/>
                <w:szCs w:val="16"/>
              </w:rPr>
            </w:pPr>
            <w:r>
              <w:rPr>
                <w:rFonts w:ascii="Verdana" w:hAnsi="Verdana"/>
                <w:sz w:val="16"/>
              </w:rPr>
              <w:t>Mora se ocijeniti rizik te se moraju poduzeti odgovarajuće mjere kako bi se rizik smanjio na prihvatljive razine. Namjenski prijevoz, kontrola triju prethodnih tereta.</w:t>
            </w:r>
          </w:p>
        </w:tc>
        <w:tc>
          <w:tcPr>
            <w:tcW w:w="2127" w:type="dxa"/>
            <w:tcBorders>
              <w:bottom w:val="single" w:sz="4" w:space="0" w:color="auto"/>
            </w:tcBorders>
            <w:tcMar>
              <w:top w:w="85" w:type="dxa"/>
              <w:bottom w:w="85" w:type="dxa"/>
            </w:tcMar>
          </w:tcPr>
          <w:p w:rsidR="00993467" w:rsidRPr="0055765D" w:rsidRDefault="00993467" w:rsidP="003E010C">
            <w:pPr>
              <w:widowControl w:val="0"/>
              <w:jc w:val="center"/>
              <w:rPr>
                <w:rFonts w:ascii="Verdana" w:hAnsi="Verdana" w:cs="Tahoma"/>
                <w:sz w:val="16"/>
                <w:szCs w:val="16"/>
              </w:rPr>
            </w:pPr>
            <w:r>
              <w:rPr>
                <w:rFonts w:ascii="Verdana" w:hAnsi="Verdana"/>
                <w:sz w:val="16"/>
              </w:rPr>
              <w:t>Vizualne provjere</w:t>
            </w:r>
          </w:p>
        </w:tc>
      </w:tr>
      <w:tr w:rsidR="00993467" w:rsidRPr="00073614" w:rsidTr="00993467">
        <w:trPr>
          <w:trHeight w:val="145"/>
        </w:trPr>
        <w:tc>
          <w:tcPr>
            <w:tcW w:w="18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xml:space="preserve">Strane tvari </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F</w:t>
            </w:r>
          </w:p>
        </w:tc>
        <w:tc>
          <w:tcPr>
            <w:tcW w:w="979"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mala </w:t>
            </w:r>
          </w:p>
        </w:tc>
        <w:tc>
          <w:tcPr>
            <w:tcW w:w="1418"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mala </w:t>
            </w:r>
          </w:p>
        </w:tc>
        <w:tc>
          <w:tcPr>
            <w:tcW w:w="850"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1 </w:t>
            </w:r>
          </w:p>
        </w:tc>
        <w:tc>
          <w:tcPr>
            <w:tcW w:w="2268" w:type="dxa"/>
            <w:tcBorders>
              <w:bottom w:val="single" w:sz="4" w:space="0" w:color="auto"/>
            </w:tcBorders>
            <w:tcMar>
              <w:top w:w="85" w:type="dxa"/>
              <w:bottom w:w="85" w:type="dxa"/>
            </w:tcMar>
          </w:tcPr>
          <w:p w:rsidR="00993467" w:rsidRPr="0055765D" w:rsidRDefault="00993467" w:rsidP="00916B7E">
            <w:pPr>
              <w:widowControl w:val="0"/>
              <w:rPr>
                <w:rFonts w:ascii="Verdana" w:hAnsi="Verdana" w:cs="Tahoma"/>
                <w:sz w:val="16"/>
                <w:szCs w:val="16"/>
              </w:rPr>
            </w:pPr>
            <w:r>
              <w:rPr>
                <w:rFonts w:ascii="Verdana" w:hAnsi="Verdana"/>
                <w:sz w:val="16"/>
              </w:rPr>
              <w:t>Moguća prisutnost stranih tvari.</w:t>
            </w:r>
          </w:p>
        </w:tc>
        <w:tc>
          <w:tcPr>
            <w:tcW w:w="19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Namjenske zgrade i filtri toka, higijena zaposlenika, dobra praksa održavanja</w:t>
            </w:r>
          </w:p>
        </w:tc>
        <w:tc>
          <w:tcPr>
            <w:tcW w:w="2127"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lastRenderedPageBreak/>
              <w:t>Kontaminacija nepoželjnim tvarima</w:t>
            </w:r>
          </w:p>
          <w:p w:rsidR="00993467" w:rsidRPr="0055765D"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FF185B" w:rsidP="00FF185B">
            <w:pPr>
              <w:widowControl w:val="0"/>
              <w:rPr>
                <w:rFonts w:ascii="Verdana" w:hAnsi="Verdana" w:cs="Tahoma"/>
                <w:sz w:val="16"/>
                <w:szCs w:val="16"/>
              </w:rPr>
            </w:pPr>
            <w:r>
              <w:rPr>
                <w:rFonts w:ascii="Verdana" w:hAnsi="Verdana"/>
                <w:sz w:val="16"/>
              </w:rPr>
              <w:t xml:space="preserve">   mala</w:t>
            </w:r>
          </w:p>
        </w:tc>
        <w:tc>
          <w:tcPr>
            <w:tcW w:w="1418" w:type="dxa"/>
            <w:tcBorders>
              <w:top w:val="single" w:sz="4" w:space="0" w:color="auto"/>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4A2A8A" w:rsidRDefault="004A2A8A" w:rsidP="004E54A8">
            <w:pPr>
              <w:widowControl w:val="0"/>
              <w:rPr>
                <w:rFonts w:ascii="Verdana" w:hAnsi="Verdana" w:cs="Tahoma"/>
                <w:sz w:val="16"/>
                <w:szCs w:val="16"/>
              </w:rPr>
            </w:pPr>
          </w:p>
          <w:p w:rsidR="0072409A" w:rsidRPr="0072409A" w:rsidRDefault="0072409A" w:rsidP="004E54A8">
            <w:pPr>
              <w:widowControl w:val="0"/>
              <w:rPr>
                <w:rFonts w:ascii="Verdana" w:hAnsi="Verdana" w:cs="Tahoma"/>
                <w:sz w:val="16"/>
                <w:szCs w:val="16"/>
              </w:rPr>
            </w:pPr>
            <w:r>
              <w:rPr>
                <w:rFonts w:ascii="Verdana" w:hAnsi="Verdana"/>
                <w:sz w:val="16"/>
              </w:rPr>
              <w:t>Općenito se kontaminanti s popisa u nastavku ne koncentriraju u glicerinu, nego u metilnim esterima masnih kiselina (FAME)</w:t>
            </w:r>
          </w:p>
        </w:tc>
        <w:tc>
          <w:tcPr>
            <w:tcW w:w="1985" w:type="dxa"/>
            <w:tcBorders>
              <w:top w:val="single" w:sz="4" w:space="0" w:color="auto"/>
              <w:bottom w:val="single" w:sz="4" w:space="0" w:color="auto"/>
            </w:tcBorders>
            <w:tcMar>
              <w:top w:w="85" w:type="dxa"/>
              <w:bottom w:w="85" w:type="dxa"/>
            </w:tcMar>
          </w:tcPr>
          <w:p w:rsidR="00993467" w:rsidRPr="0055765D" w:rsidRDefault="0002776D" w:rsidP="004E54A8">
            <w:pPr>
              <w:widowControl w:val="0"/>
              <w:rPr>
                <w:rFonts w:ascii="Verdana" w:hAnsi="Verdana"/>
                <w:sz w:val="16"/>
                <w:szCs w:val="16"/>
              </w:rPr>
            </w:pPr>
            <w:r>
              <w:rPr>
                <w:rFonts w:ascii="Verdana" w:hAnsi="Verdana"/>
                <w:sz w:val="16"/>
              </w:rPr>
              <w:t>Direktiva</w:t>
            </w:r>
            <w:r w:rsidR="0072409A">
              <w:rPr>
                <w:rFonts w:ascii="Verdana" w:hAnsi="Verdana"/>
                <w:sz w:val="16"/>
              </w:rPr>
              <w:t xml:space="preserve"> 2002</w:t>
            </w:r>
            <w:r>
              <w:rPr>
                <w:rFonts w:ascii="Verdana" w:hAnsi="Verdana"/>
                <w:sz w:val="16"/>
              </w:rPr>
              <w:t>/32/EZ</w:t>
            </w:r>
            <w:r w:rsidR="0072409A">
              <w:rPr>
                <w:rFonts w:ascii="Verdana" w:hAnsi="Verdana"/>
                <w:sz w:val="16"/>
              </w:rPr>
              <w:t xml:space="preserve"> o nepoželjnim tvarima u hrani za životinje</w:t>
            </w:r>
          </w:p>
          <w:p w:rsidR="00993467" w:rsidRPr="0055765D" w:rsidRDefault="00993467" w:rsidP="004E54A8">
            <w:pPr>
              <w:widowControl w:val="0"/>
              <w:rPr>
                <w:rFonts w:ascii="Verdana" w:hAnsi="Verdana" w:cs="Tahoma"/>
                <w:sz w:val="16"/>
                <w:szCs w:val="16"/>
              </w:rPr>
            </w:pPr>
            <w:bookmarkStart w:id="68" w:name="_GoBack"/>
            <w:bookmarkEnd w:id="68"/>
          </w:p>
        </w:tc>
        <w:tc>
          <w:tcPr>
            <w:tcW w:w="2551" w:type="dxa"/>
            <w:tcBorders>
              <w:top w:val="single" w:sz="4" w:space="0" w:color="auto"/>
              <w:bottom w:val="single" w:sz="4" w:space="0" w:color="auto"/>
            </w:tcBorders>
            <w:tcMar>
              <w:top w:w="85" w:type="dxa"/>
              <w:bottom w:w="85" w:type="dxa"/>
            </w:tcMar>
          </w:tcPr>
          <w:p w:rsidR="00993467" w:rsidRPr="0055765D" w:rsidRDefault="00993467" w:rsidP="00127622">
            <w:pPr>
              <w:widowControl w:val="0"/>
              <w:rPr>
                <w:rFonts w:ascii="Verdana" w:hAnsi="Verdana" w:cs="Tahoma"/>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Za kontaminaciju nepoželjnim tvarima u uobičajenim slučajevima MOGUĆNOST je MALA – ako proizvođač kupi sirovinu slabije kakvoće, rizik se povećava na srednji</w:t>
            </w:r>
          </w:p>
        </w:tc>
      </w:tr>
      <w:tr w:rsidR="00993467" w:rsidRPr="00073614" w:rsidTr="00515881">
        <w:trPr>
          <w:trHeight w:val="145"/>
        </w:trPr>
        <w:tc>
          <w:tcPr>
            <w:tcW w:w="1885" w:type="dxa"/>
            <w:tcBorders>
              <w:top w:val="single" w:sz="4" w:space="0" w:color="auto"/>
              <w:bottom w:val="single" w:sz="4" w:space="0" w:color="auto"/>
            </w:tcBorders>
            <w:tcMar>
              <w:top w:w="85" w:type="dxa"/>
              <w:bottom w:w="85" w:type="dxa"/>
            </w:tcMar>
          </w:tcPr>
          <w:p w:rsidR="00993467" w:rsidRPr="00120270" w:rsidRDefault="00993467" w:rsidP="0085166B">
            <w:pPr>
              <w:widowControl w:val="0"/>
              <w:rPr>
                <w:rFonts w:ascii="Verdana" w:hAnsi="Verdana" w:cs="Tahoma"/>
                <w:b/>
                <w:bCs/>
                <w:sz w:val="16"/>
                <w:szCs w:val="16"/>
              </w:rPr>
            </w:pPr>
            <w:r>
              <w:rPr>
                <w:rFonts w:ascii="Verdana" w:hAnsi="Verdana"/>
                <w:b/>
                <w:sz w:val="16"/>
              </w:rPr>
              <w:t>– Dioksini i PCB-ovi slični dioksinu</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vrlo mala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4D7CE5" w:rsidP="004D7CE5">
            <w:pPr>
              <w:widowControl w:val="0"/>
              <w:rPr>
                <w:rFonts w:ascii="Verdana" w:hAnsi="Verdana" w:cs="Tahoma"/>
                <w:sz w:val="16"/>
                <w:szCs w:val="16"/>
              </w:rPr>
            </w:pPr>
            <w:r>
              <w:rPr>
                <w:rFonts w:ascii="Verdana" w:hAnsi="Verdana"/>
                <w:sz w:val="16"/>
              </w:rPr>
              <w:t xml:space="preserve">Direktiva 2002/32/EZ i Uredba </w:t>
            </w:r>
            <w:r w:rsidR="00A85F80">
              <w:rPr>
                <w:rFonts w:ascii="Verdana" w:hAnsi="Verdana"/>
                <w:sz w:val="16"/>
              </w:rPr>
              <w:t>(</w:t>
            </w:r>
            <w:r>
              <w:rPr>
                <w:rFonts w:ascii="Verdana" w:hAnsi="Verdana"/>
                <w:sz w:val="16"/>
              </w:rPr>
              <w:t>EU</w:t>
            </w:r>
            <w:r w:rsidR="00A85F80">
              <w:rPr>
                <w:rFonts w:ascii="Verdana" w:hAnsi="Verdana"/>
                <w:sz w:val="16"/>
              </w:rPr>
              <w:t>)</w:t>
            </w:r>
            <w:r>
              <w:rPr>
                <w:rFonts w:ascii="Verdana" w:hAnsi="Verdana"/>
                <w:sz w:val="16"/>
              </w:rPr>
              <w:t xml:space="preserve"> 225/2012</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4D7CE5" w:rsidP="00C0787D">
            <w:pPr>
              <w:widowControl w:val="0"/>
              <w:rPr>
                <w:rFonts w:ascii="Verdana" w:hAnsi="Verdana" w:cs="Tahoma"/>
                <w:sz w:val="16"/>
                <w:szCs w:val="16"/>
              </w:rPr>
            </w:pPr>
            <w:r>
              <w:rPr>
                <w:rFonts w:ascii="Verdana" w:hAnsi="Verdana"/>
                <w:sz w:val="16"/>
              </w:rPr>
              <w:t xml:space="preserve">U Uredbi </w:t>
            </w:r>
            <w:r w:rsidR="00A85F80">
              <w:rPr>
                <w:rFonts w:ascii="Verdana" w:hAnsi="Verdana"/>
                <w:sz w:val="16"/>
              </w:rPr>
              <w:t>(</w:t>
            </w:r>
            <w:r>
              <w:rPr>
                <w:rFonts w:ascii="Verdana" w:hAnsi="Verdana"/>
                <w:sz w:val="16"/>
              </w:rPr>
              <w:t>EU</w:t>
            </w:r>
            <w:r w:rsidR="00A85F80">
              <w:rPr>
                <w:rFonts w:ascii="Verdana" w:hAnsi="Verdana"/>
                <w:sz w:val="16"/>
              </w:rPr>
              <w:t>)</w:t>
            </w:r>
            <w:r>
              <w:rPr>
                <w:rFonts w:ascii="Verdana" w:hAnsi="Verdana"/>
                <w:sz w:val="16"/>
              </w:rPr>
              <w:t xml:space="preserve"> 225/2012 o </w:t>
            </w:r>
            <w:proofErr w:type="spellStart"/>
            <w:r>
              <w:rPr>
                <w:rFonts w:ascii="Verdana" w:hAnsi="Verdana"/>
                <w:sz w:val="16"/>
              </w:rPr>
              <w:t>dioksinima</w:t>
            </w:r>
            <w:proofErr w:type="spellEnd"/>
            <w:r>
              <w:rPr>
                <w:rFonts w:ascii="Verdana" w:hAnsi="Verdana"/>
                <w:sz w:val="16"/>
              </w:rPr>
              <w:t xml:space="preserve"> za određene se ulazne proizvode spominje 100 %-tno praćenje dioksina</w:t>
            </w: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Nikal</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r>
              <w:rPr>
                <w:rFonts w:ascii="Verdana" w:hAnsi="Verdana"/>
                <w:sz w:val="16"/>
              </w:rPr>
              <w:t xml:space="preserve">Uredba </w:t>
            </w:r>
            <w:r w:rsidR="00A85F80">
              <w:rPr>
                <w:rFonts w:ascii="Verdana" w:hAnsi="Verdana"/>
                <w:sz w:val="16"/>
              </w:rPr>
              <w:t>(</w:t>
            </w:r>
            <w:r>
              <w:rPr>
                <w:rFonts w:ascii="Verdana" w:hAnsi="Verdana"/>
                <w:sz w:val="16"/>
              </w:rPr>
              <w:t>EU</w:t>
            </w:r>
            <w:r w:rsidR="00A85F80">
              <w:rPr>
                <w:rFonts w:ascii="Verdana" w:hAnsi="Verdana"/>
                <w:sz w:val="16"/>
              </w:rPr>
              <w:t>)</w:t>
            </w:r>
            <w:r>
              <w:rPr>
                <w:rFonts w:ascii="Verdana" w:hAnsi="Verdana"/>
                <w:sz w:val="16"/>
              </w:rPr>
              <w:t xml:space="preserve"> 68/2013 o Katalogu krmiva</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CC2654" w:rsidP="00C0787D">
            <w:pPr>
              <w:widowControl w:val="0"/>
              <w:rPr>
                <w:rFonts w:ascii="Verdana" w:hAnsi="Verdana" w:cs="Tahoma"/>
                <w:sz w:val="16"/>
                <w:szCs w:val="16"/>
              </w:rPr>
            </w:pPr>
            <w:r>
              <w:rPr>
                <w:rFonts w:ascii="Verdana" w:hAnsi="Verdana"/>
                <w:sz w:val="16"/>
              </w:rPr>
              <w:t>Nikal se u većini slučajeva ne upotrebljava u proizvodnji biodizela</w:t>
            </w:r>
          </w:p>
        </w:tc>
      </w:tr>
      <w:tr w:rsidR="00993467" w:rsidRPr="00073614" w:rsidTr="00515881">
        <w:trPr>
          <w:trHeight w:val="145"/>
        </w:trPr>
        <w:tc>
          <w:tcPr>
            <w:tcW w:w="1885" w:type="dxa"/>
            <w:tcBorders>
              <w:top w:val="single" w:sz="4" w:space="0" w:color="auto"/>
              <w:bottom w:val="single" w:sz="4" w:space="0" w:color="auto"/>
            </w:tcBorders>
            <w:tcMar>
              <w:top w:w="85" w:type="dxa"/>
              <w:bottom w:w="85" w:type="dxa"/>
            </w:tcMar>
          </w:tcPr>
          <w:p w:rsidR="00993467" w:rsidRPr="0055765D" w:rsidRDefault="006221FD" w:rsidP="004D7CE5">
            <w:pPr>
              <w:widowControl w:val="0"/>
              <w:rPr>
                <w:rFonts w:ascii="Verdana" w:hAnsi="Verdana" w:cs="Tahoma"/>
                <w:b/>
                <w:bCs/>
                <w:sz w:val="16"/>
                <w:szCs w:val="16"/>
              </w:rPr>
            </w:pPr>
            <w:r>
              <w:rPr>
                <w:rFonts w:ascii="Verdana" w:hAnsi="Verdana"/>
                <w:b/>
                <w:sz w:val="16"/>
              </w:rPr>
              <w:t>– PCB-ovi koji ne sliče dioksinu</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vrlo mala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Default="00993467" w:rsidP="00CC2654">
            <w:pPr>
              <w:widowControl w:val="0"/>
              <w:rPr>
                <w:rFonts w:ascii="Verdana" w:hAnsi="Verdana"/>
                <w:sz w:val="16"/>
                <w:szCs w:val="16"/>
              </w:rPr>
            </w:pPr>
          </w:p>
          <w:p w:rsidR="004D7CE5" w:rsidRPr="0055765D" w:rsidRDefault="004D7CE5" w:rsidP="00CC2654">
            <w:pPr>
              <w:widowControl w:val="0"/>
              <w:rPr>
                <w:rFonts w:ascii="Verdana" w:hAnsi="Verdana"/>
                <w:sz w:val="16"/>
                <w:szCs w:val="16"/>
              </w:rPr>
            </w:pPr>
            <w:r>
              <w:rPr>
                <w:rFonts w:ascii="Verdana" w:hAnsi="Verdana"/>
                <w:sz w:val="16"/>
              </w:rPr>
              <w:t>Direktiva 2002/32/EZ o nepoželjnim tvarima u hrani za životinje</w:t>
            </w:r>
          </w:p>
        </w:tc>
        <w:tc>
          <w:tcPr>
            <w:tcW w:w="2551" w:type="dxa"/>
            <w:tcBorders>
              <w:top w:val="single" w:sz="4" w:space="0" w:color="auto"/>
              <w:bottom w:val="single" w:sz="4" w:space="0" w:color="auto"/>
            </w:tcBorders>
            <w:tcMar>
              <w:top w:w="85" w:type="dxa"/>
              <w:bottom w:w="85" w:type="dxa"/>
            </w:tcMar>
          </w:tcPr>
          <w:p w:rsidR="00993467" w:rsidRDefault="00993467" w:rsidP="004E54A8">
            <w:pPr>
              <w:widowControl w:val="0"/>
              <w:rPr>
                <w:rFonts w:ascii="Verdana" w:hAnsi="Verdana" w:cs="Tahoma"/>
                <w:sz w:val="16"/>
                <w:szCs w:val="16"/>
              </w:rPr>
            </w:pPr>
            <w:r>
              <w:rPr>
                <w:rFonts w:ascii="Verdana" w:hAnsi="Verdana"/>
                <w:sz w:val="16"/>
              </w:rPr>
              <w:t>Plan praćenja</w:t>
            </w:r>
          </w:p>
          <w:p w:rsidR="00D05EA6" w:rsidRPr="004D7CE5" w:rsidRDefault="00D05EA6" w:rsidP="004D7CE5">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PAU</w:t>
            </w:r>
          </w:p>
          <w:p w:rsidR="00993467" w:rsidRPr="0055765D"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993467">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Ostaci pesticida iznad m</w:t>
            </w:r>
            <w:r w:rsidR="002F46C4">
              <w:rPr>
                <w:rFonts w:ascii="Verdana" w:hAnsi="Verdana"/>
                <w:b/>
                <w:sz w:val="16"/>
              </w:rPr>
              <w:t>aksi</w:t>
            </w:r>
            <w:r>
              <w:rPr>
                <w:rFonts w:ascii="Verdana" w:hAnsi="Verdana"/>
                <w:b/>
                <w:sz w:val="16"/>
              </w:rPr>
              <w:t xml:space="preserve">malnih razina </w:t>
            </w:r>
            <w:r w:rsidR="002F46C4">
              <w:rPr>
                <w:rFonts w:ascii="Verdana" w:hAnsi="Verdana"/>
                <w:b/>
                <w:sz w:val="16"/>
              </w:rPr>
              <w:t>ostataka</w:t>
            </w:r>
            <w:r>
              <w:rPr>
                <w:rFonts w:ascii="Verdana" w:hAnsi="Verdana"/>
                <w:b/>
                <w:sz w:val="16"/>
              </w:rPr>
              <w:t xml:space="preserve"> (MRL), odnosno ostaci herbicida, insekticida, fungicida ili sredstava protiv glodavaca iznad minimalne razine rizika.</w:t>
            </w:r>
          </w:p>
          <w:p w:rsidR="006221FD" w:rsidRPr="0055765D" w:rsidRDefault="006221FD"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umjerena</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 xml:space="preserve">Redovito praćenje ostataka pesticida u sirovom ulju pokazuje da razine ostataka ostaju u okviru zakonski dopuštenih granica. </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r>
              <w:rPr>
                <w:rFonts w:ascii="Verdana" w:hAnsi="Verdana"/>
                <w:sz w:val="16"/>
              </w:rPr>
              <w:t xml:space="preserve">Uredbom 396/2005 utvrđuju se razine ostataka pesticida. Tom se uredbom omogućuje upotreba faktora prijenosa za odobrene pesticide u prerađenim proizvodima, pod uvjetom da je osigurana sigurnost hrane. </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587768" w:rsidP="00587768">
            <w:pPr>
              <w:widowControl w:val="0"/>
              <w:rPr>
                <w:rFonts w:ascii="Verdana" w:hAnsi="Verdana" w:cs="Tahoma"/>
                <w:sz w:val="16"/>
                <w:szCs w:val="16"/>
              </w:rPr>
            </w:pPr>
            <w:r>
              <w:rPr>
                <w:rFonts w:ascii="Verdana" w:hAnsi="Verdana"/>
                <w:sz w:val="16"/>
              </w:rPr>
              <w:t>Većina se pesticida ne otapa u vodi te neće prijeći u fazu glicerinske vode</w:t>
            </w:r>
          </w:p>
        </w:tc>
      </w:tr>
      <w:tr w:rsidR="00993467" w:rsidRPr="00233E3A" w:rsidTr="00993467">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b/>
                <w:sz w:val="16"/>
              </w:rPr>
              <w:lastRenderedPageBreak/>
              <w:t>Ostaci pesticida kako su navedeni u Direktivi 2002/32</w:t>
            </w:r>
            <w:r w:rsidR="00A85F80">
              <w:rPr>
                <w:rFonts w:ascii="Verdana" w:hAnsi="Verdana"/>
                <w:b/>
                <w:sz w:val="16"/>
              </w:rPr>
              <w:t>/EZ</w:t>
            </w:r>
            <w:r>
              <w:rPr>
                <w:rFonts w:ascii="Verdana" w:hAnsi="Verdana"/>
                <w:b/>
                <w:sz w:val="16"/>
              </w:rPr>
              <w:t xml:space="preserve"> o nepoželjnim tvarima u hrani za životinje</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K</w:t>
            </w:r>
          </w:p>
        </w:tc>
        <w:tc>
          <w:tcPr>
            <w:tcW w:w="979"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vrlo mala</w:t>
            </w:r>
          </w:p>
        </w:tc>
        <w:tc>
          <w:tcPr>
            <w:tcW w:w="1418"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916B7E">
            <w:pPr>
              <w:rPr>
                <w:rFonts w:ascii="Verdana" w:hAnsi="Verdana" w:cs="Tahoma"/>
                <w:sz w:val="16"/>
                <w:szCs w:val="16"/>
              </w:rPr>
            </w:pPr>
            <w:r>
              <w:rPr>
                <w:rFonts w:ascii="Verdana" w:hAnsi="Verdana"/>
                <w:sz w:val="16"/>
              </w:rPr>
              <w:t>Neki od zabranjenih pesticida mogu se nalaziti u okolišu. Međutim, mogućnost da se nalaze u sirovom sojinom ulju vrlo je mala. Kod soje je dopuštena upotreba endosulfana. Podaci o praćenju pokazuju da ostatak u sirovom ulju ostaje u okviru zakonski dopuštenih granica.</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r>
              <w:rPr>
                <w:rFonts w:ascii="Verdana" w:hAnsi="Verdana"/>
                <w:sz w:val="16"/>
              </w:rPr>
              <w:t>Direktivom 2002/32/EZ utvrđuju se ograničenja za niz ostataka pesticida u hrani za životinje.</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587768" w:rsidP="004E54A8">
            <w:pPr>
              <w:widowControl w:val="0"/>
              <w:rPr>
                <w:rFonts w:ascii="Verdana" w:hAnsi="Verdana" w:cs="Tahoma"/>
                <w:sz w:val="16"/>
                <w:szCs w:val="16"/>
              </w:rPr>
            </w:pPr>
            <w:r>
              <w:rPr>
                <w:rFonts w:ascii="Verdana" w:hAnsi="Verdana"/>
                <w:sz w:val="16"/>
              </w:rPr>
              <w:t>Većina se pesticida ne otapa u vodi te neće prijeći u fazu glicerinske vode</w:t>
            </w:r>
          </w:p>
        </w:tc>
      </w:tr>
      <w:tr w:rsidR="00993467" w:rsidRPr="00233E3A" w:rsidTr="00993467">
        <w:trPr>
          <w:trHeight w:val="1301"/>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Mikrobiološka kontaminacija</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umjerena</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sz w:val="16"/>
              </w:rPr>
              <w:t>Plan praćenja</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bl>
    <w:p w:rsidR="00850EB4" w:rsidRPr="00A8208F" w:rsidRDefault="00850EB4" w:rsidP="007B5B25">
      <w:pPr>
        <w:rPr>
          <w:rFonts w:ascii="Verdana" w:hAnsi="Verdana" w:cs="Tahoma"/>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831"/>
        <w:gridCol w:w="1329"/>
        <w:gridCol w:w="939"/>
        <w:gridCol w:w="2835"/>
        <w:gridCol w:w="1559"/>
        <w:gridCol w:w="2551"/>
        <w:gridCol w:w="2127"/>
      </w:tblGrid>
      <w:tr w:rsidR="00C724B8" w:rsidRPr="00A8208F" w:rsidTr="00B86C6B">
        <w:trPr>
          <w:trHeight w:val="429"/>
        </w:trPr>
        <w:tc>
          <w:tcPr>
            <w:tcW w:w="469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Pristup temeljen na riziku za glicerin</w:t>
            </w:r>
          </w:p>
          <w:p w:rsidR="00C724B8" w:rsidRPr="00A8208F" w:rsidRDefault="00C724B8" w:rsidP="004E54A8">
            <w:pPr>
              <w:widowControl w:val="0"/>
              <w:spacing w:before="20" w:after="20"/>
              <w:jc w:val="right"/>
              <w:rPr>
                <w:rFonts w:ascii="Verdana" w:hAnsi="Verdana" w:cs="Tahoma"/>
                <w:b/>
                <w:bCs/>
                <w:color w:val="FFFFFF"/>
                <w:sz w:val="28"/>
                <w:szCs w:val="28"/>
              </w:rPr>
            </w:pPr>
          </w:p>
        </w:tc>
        <w:tc>
          <w:tcPr>
            <w:tcW w:w="10011"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4E54A8">
            <w:pPr>
              <w:widowControl w:val="0"/>
              <w:rPr>
                <w:rFonts w:ascii="Verdana" w:hAnsi="Verdana" w:cs="Tahoma"/>
                <w:b/>
                <w:color w:val="FFFFFF"/>
                <w:sz w:val="28"/>
                <w:szCs w:val="28"/>
              </w:rPr>
            </w:pPr>
            <w:r>
              <w:rPr>
                <w:rFonts w:ascii="Verdana" w:hAnsi="Verdana"/>
                <w:b/>
                <w:color w:val="FFFFFF"/>
                <w:sz w:val="28"/>
              </w:rPr>
              <w:t>3. Skladištenje ulaznog materijala</w:t>
            </w:r>
          </w:p>
        </w:tc>
      </w:tr>
      <w:tr w:rsidR="00993467" w:rsidRPr="00A8208F" w:rsidTr="003E010C">
        <w:trPr>
          <w:trHeight w:val="536"/>
        </w:trPr>
        <w:tc>
          <w:tcPr>
            <w:tcW w:w="1890"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48"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831"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329"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939"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835"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559" w:type="dxa"/>
            <w:tcBorders>
              <w:bottom w:val="single" w:sz="4" w:space="0" w:color="auto"/>
            </w:tcBorders>
            <w:shd w:val="clear" w:color="auto" w:fill="0DA72A"/>
            <w:tcMar>
              <w:top w:w="28" w:type="dxa"/>
              <w:bottom w:w="28" w:type="dxa"/>
            </w:tcMar>
            <w:vAlign w:val="center"/>
          </w:tcPr>
          <w:p w:rsidR="00993467" w:rsidRPr="00A8208F" w:rsidRDefault="00993467"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w:t>
            </w:r>
          </w:p>
        </w:tc>
        <w:tc>
          <w:tcPr>
            <w:tcW w:w="2551"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127"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993467" w:rsidRPr="00A8208F" w:rsidTr="003E010C">
        <w:trPr>
          <w:trHeight w:val="1701"/>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Kontaminacija sredstvima za čišćenje</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mala</w:t>
            </w:r>
          </w:p>
        </w:tc>
        <w:tc>
          <w:tcPr>
            <w:tcW w:w="1329" w:type="dxa"/>
            <w:tcMar>
              <w:top w:w="85" w:type="dxa"/>
              <w:bottom w:w="85" w:type="dxa"/>
            </w:tcMar>
          </w:tcPr>
          <w:p w:rsidR="00993467" w:rsidRPr="0055765D" w:rsidRDefault="00993467" w:rsidP="00FF185B">
            <w:pPr>
              <w:widowControl w:val="0"/>
              <w:jc w:val="center"/>
              <w:rPr>
                <w:rFonts w:ascii="Verdana" w:hAnsi="Verdana" w:cs="Tahoma"/>
                <w:sz w:val="16"/>
                <w:szCs w:val="16"/>
              </w:rPr>
            </w:pPr>
            <w:r>
              <w:rPr>
                <w:rFonts w:ascii="Verdana" w:hAnsi="Verdana"/>
                <w:sz w:val="16"/>
              </w:rPr>
              <w:t xml:space="preserve"> umjerena</w:t>
            </w:r>
          </w:p>
        </w:tc>
        <w:tc>
          <w:tcPr>
            <w:tcW w:w="939" w:type="dxa"/>
            <w:tcMar>
              <w:top w:w="85" w:type="dxa"/>
              <w:bottom w:w="85" w:type="dxa"/>
            </w:tcMar>
          </w:tcPr>
          <w:p w:rsidR="00993467" w:rsidRPr="0055765D" w:rsidRDefault="00993467" w:rsidP="00CE6A2B">
            <w:pPr>
              <w:widowControl w:val="0"/>
              <w:jc w:val="center"/>
              <w:rPr>
                <w:rFonts w:ascii="Verdana" w:hAnsi="Verdana" w:cs="Tahoma"/>
                <w:sz w:val="16"/>
                <w:szCs w:val="16"/>
              </w:rPr>
            </w:pPr>
            <w:r>
              <w:rPr>
                <w:rFonts w:ascii="Verdana" w:hAnsi="Verdana"/>
                <w:sz w:val="16"/>
              </w:rPr>
              <w:t xml:space="preserve"> 3</w:t>
            </w:r>
          </w:p>
        </w:tc>
        <w:tc>
          <w:tcPr>
            <w:tcW w:w="2835" w:type="dxa"/>
            <w:tcMar>
              <w:top w:w="85" w:type="dxa"/>
              <w:bottom w:w="85" w:type="dxa"/>
            </w:tcMar>
          </w:tcPr>
          <w:p w:rsidR="00993467" w:rsidRPr="0055765D" w:rsidRDefault="00993467" w:rsidP="00CB6F5D">
            <w:pPr>
              <w:widowControl w:val="0"/>
              <w:rPr>
                <w:rFonts w:ascii="Verdana" w:hAnsi="Verdana" w:cs="Tahoma"/>
                <w:sz w:val="16"/>
                <w:szCs w:val="16"/>
              </w:rPr>
            </w:pPr>
            <w:r>
              <w:rPr>
                <w:rFonts w:ascii="Verdana" w:hAnsi="Verdana"/>
                <w:sz w:val="16"/>
              </w:rPr>
              <w:t>Ova se klasifikacija rizika primjenjuje na terminale u kojima se skladište kemijska sredstva i biljna ulja. Subjekti možda ne upotrebljavaju sredstva za čišćenje koja su prikladna za upotrebu u prehrambenoj industriji. Za terminale u EU-u u kojima se primjenjuje HACCP i u kojima se biljna ulja i kemikalije skladište odvojeno mogućnost je upotrebe pogrešnih sredstava za čišćenje vrlo mala.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480496" w:rsidRPr="0055765D" w:rsidRDefault="00480496" w:rsidP="004E54A8">
            <w:pPr>
              <w:widowControl w:val="0"/>
              <w:rPr>
                <w:rFonts w:ascii="Verdana" w:hAnsi="Verdana" w:cs="Tahoma"/>
                <w:sz w:val="16"/>
                <w:szCs w:val="16"/>
              </w:rPr>
            </w:pPr>
            <w:r>
              <w:rPr>
                <w:rFonts w:ascii="Verdana" w:hAnsi="Verdana"/>
                <w:sz w:val="16"/>
              </w:rPr>
              <w:t>Sredstva za čišćenje moraju se ocijeniti te se trebaju poduzeti odgovarajuće mjere kako bi se rizici smanjili na prihvatljive razine.</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A8208F" w:rsidTr="003E010C">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lastRenderedPageBreak/>
              <w:t>Tekućine toplinskog grijanja iz neispravne opreme</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mala</w:t>
            </w:r>
          </w:p>
        </w:tc>
        <w:tc>
          <w:tcPr>
            <w:tcW w:w="1329"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velika</w:t>
            </w:r>
          </w:p>
        </w:tc>
        <w:tc>
          <w:tcPr>
            <w:tcW w:w="939" w:type="dxa"/>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835"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Još se uvijek mogu upotrebljavati toksične tekućine toplinskog grijanja. No zbog relativno je niskih temperatura grijanja koje se primjenjuju tijekom skladištenja mogućnost istjecanja tekućina toplinskog grijanja u proizvod mala.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 xml:space="preserve">Dokumentacija o neto gubicima i analiza u skladu s time, ako je potrebno. </w:t>
            </w:r>
          </w:p>
        </w:tc>
        <w:tc>
          <w:tcPr>
            <w:tcW w:w="2127" w:type="dxa"/>
            <w:tcMar>
              <w:top w:w="85" w:type="dxa"/>
              <w:bottom w:w="85" w:type="dxa"/>
            </w:tcMar>
          </w:tcPr>
          <w:p w:rsidR="00993467" w:rsidRPr="0055765D" w:rsidRDefault="00993467" w:rsidP="001E05FE">
            <w:pPr>
              <w:widowControl w:val="0"/>
              <w:rPr>
                <w:rFonts w:ascii="Verdana" w:hAnsi="Verdana" w:cs="Tahoma"/>
                <w:sz w:val="16"/>
                <w:szCs w:val="16"/>
              </w:rPr>
            </w:pPr>
            <w:r>
              <w:rPr>
                <w:rFonts w:ascii="Verdana" w:hAnsi="Verdana"/>
                <w:sz w:val="16"/>
              </w:rPr>
              <w:t>Preporučuje se grijanje vodom i parom. Tekućine od toplinskog zagrijavanja obično se ne upotrebljavaju</w:t>
            </w:r>
          </w:p>
        </w:tc>
      </w:tr>
      <w:tr w:rsidR="00993467" w:rsidRPr="00A8208F" w:rsidTr="003E010C">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Unakrsna kontaminacija</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K</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mala</w:t>
            </w:r>
          </w:p>
        </w:tc>
        <w:tc>
          <w:tcPr>
            <w:tcW w:w="1329"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umjerena</w:t>
            </w:r>
          </w:p>
        </w:tc>
        <w:tc>
          <w:tcPr>
            <w:tcW w:w="939"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835" w:type="dxa"/>
            <w:tcMar>
              <w:top w:w="85" w:type="dxa"/>
              <w:bottom w:w="85" w:type="dxa"/>
            </w:tcMar>
          </w:tcPr>
          <w:p w:rsidR="00993467" w:rsidRPr="0055765D" w:rsidRDefault="00993467" w:rsidP="00257CF8">
            <w:pPr>
              <w:widowControl w:val="0"/>
              <w:rPr>
                <w:rFonts w:ascii="Verdana" w:hAnsi="Verdana" w:cs="Tahoma"/>
                <w:sz w:val="16"/>
                <w:szCs w:val="16"/>
              </w:rPr>
            </w:pPr>
            <w:r>
              <w:rPr>
                <w:rFonts w:ascii="Verdana" w:hAnsi="Verdana"/>
                <w:sz w:val="16"/>
              </w:rPr>
              <w:t xml:space="preserve">Izvori rizika uključuju neispravnu opremu i nezgodu subjekta. Iznimno niska učestalost pojave. </w:t>
            </w:r>
          </w:p>
          <w:p w:rsidR="00993467" w:rsidRPr="0055765D" w:rsidRDefault="00993467" w:rsidP="00073E32">
            <w:pPr>
              <w:autoSpaceDE w:val="0"/>
              <w:autoSpaceDN w:val="0"/>
              <w:adjustRightInd w:val="0"/>
              <w:rPr>
                <w:rFonts w:ascii="Verdana" w:hAnsi="Verdana" w:cs="Tahoma"/>
                <w:sz w:val="16"/>
                <w:szCs w:val="16"/>
              </w:rPr>
            </w:pPr>
            <w:r>
              <w:rPr>
                <w:rFonts w:ascii="Verdana" w:hAnsi="Verdana"/>
                <w:sz w:val="16"/>
              </w:rPr>
              <w:t>Preventivne mjere s pomoću kojih se smanjuje učinak uključuju</w:t>
            </w:r>
          </w:p>
          <w:p w:rsidR="00993467" w:rsidRPr="0055765D" w:rsidRDefault="00993467" w:rsidP="000050B7">
            <w:pPr>
              <w:widowControl w:val="0"/>
              <w:rPr>
                <w:rFonts w:ascii="Verdana" w:hAnsi="Verdana" w:cs="Tahoma"/>
                <w:sz w:val="16"/>
                <w:szCs w:val="16"/>
              </w:rPr>
            </w:pPr>
            <w:r>
              <w:rPr>
                <w:rFonts w:ascii="Verdana" w:hAnsi="Verdana"/>
                <w:sz w:val="16"/>
              </w:rPr>
              <w:t>automatizirane sigurnosne mehanizme, ograničavanje prolijevanja, osiguranje postrojenja, ograničeni pristup postrojenju.</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Provodi se postupak o skladištenju</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bl>
    <w:p w:rsidR="004E54A8" w:rsidRPr="00A8208F" w:rsidRDefault="004E54A8" w:rsidP="004E54A8">
      <w:pPr>
        <w:rPr>
          <w:rFonts w:ascii="Verdana" w:hAnsi="Verdana" w:cs="Tahoma"/>
          <w:sz w:val="14"/>
          <w:szCs w:val="14"/>
        </w:rPr>
      </w:pPr>
    </w:p>
    <w:p w:rsidR="008675C9" w:rsidRPr="00A8208F" w:rsidRDefault="008675C9" w:rsidP="008675C9">
      <w:pPr>
        <w:pStyle w:val="Heading1"/>
        <w:numPr>
          <w:ilvl w:val="0"/>
          <w:numId w:val="0"/>
        </w:numPr>
        <w:ind w:left="432"/>
        <w:rPr>
          <w:rFonts w:ascii="Verdana" w:hAnsi="Verdana" w:cs="Tahoma"/>
          <w:sz w:val="14"/>
          <w:szCs w:val="14"/>
        </w:rPr>
      </w:pPr>
    </w:p>
    <w:p w:rsidR="00E33DAE" w:rsidRPr="00A8208F" w:rsidRDefault="00DB5BD0" w:rsidP="008675C9">
      <w:pPr>
        <w:pStyle w:val="Heading1"/>
        <w:numPr>
          <w:ilvl w:val="0"/>
          <w:numId w:val="0"/>
        </w:numPr>
        <w:ind w:left="432"/>
        <w:rPr>
          <w:rFonts w:ascii="Verdana" w:hAnsi="Verdana" w:cs="Tahoma"/>
          <w:sz w:val="14"/>
          <w:szCs w:val="14"/>
        </w:rPr>
      </w:pPr>
      <w:r>
        <w:br w:type="page"/>
      </w:r>
    </w:p>
    <w:p w:rsidR="004E54A8" w:rsidRPr="00A8208F" w:rsidRDefault="004E54A8" w:rsidP="004E54A8">
      <w:pPr>
        <w:rPr>
          <w:rFonts w:ascii="Verdana" w:hAnsi="Verdana" w:cs="Tahoma"/>
          <w:sz w:val="14"/>
          <w:szCs w:val="14"/>
        </w:rPr>
      </w:pPr>
    </w:p>
    <w:p w:rsidR="004E54A8" w:rsidRPr="00A8208F"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36"/>
        <w:gridCol w:w="877"/>
        <w:gridCol w:w="1417"/>
        <w:gridCol w:w="851"/>
        <w:gridCol w:w="2524"/>
        <w:gridCol w:w="1870"/>
        <w:gridCol w:w="2551"/>
        <w:gridCol w:w="2127"/>
      </w:tblGrid>
      <w:tr w:rsidR="00C724B8" w:rsidRPr="00A8208F" w:rsidTr="00B86C6B">
        <w:trPr>
          <w:trHeight w:val="558"/>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Pristup temeljen na riziku za glicerin</w:t>
            </w:r>
          </w:p>
          <w:p w:rsidR="00C724B8" w:rsidRPr="00A8208F" w:rsidRDefault="00C724B8" w:rsidP="00542173">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AE2E62">
            <w:pPr>
              <w:widowControl w:val="0"/>
              <w:rPr>
                <w:rFonts w:ascii="Verdana" w:hAnsi="Verdana" w:cs="Tahoma"/>
                <w:b/>
                <w:color w:val="FFFFFF"/>
                <w:sz w:val="28"/>
                <w:szCs w:val="28"/>
              </w:rPr>
            </w:pPr>
            <w:r>
              <w:rPr>
                <w:rFonts w:ascii="Verdana" w:hAnsi="Verdana"/>
                <w:b/>
                <w:color w:val="FFFFFF"/>
                <w:sz w:val="28"/>
              </w:rPr>
              <w:t>4. Faza 1. od 3 – Transesterifikacija (faza reakcije)</w:t>
            </w:r>
          </w:p>
        </w:tc>
      </w:tr>
      <w:tr w:rsidR="00B86C6B" w:rsidRPr="00A8208F" w:rsidTr="008A645C">
        <w:trPr>
          <w:trHeight w:val="988"/>
        </w:trPr>
        <w:tc>
          <w:tcPr>
            <w:tcW w:w="185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3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87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1"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KLAS. RIZ.</w:t>
            </w:r>
          </w:p>
        </w:tc>
        <w:tc>
          <w:tcPr>
            <w:tcW w:w="2524"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870" w:type="dxa"/>
            <w:tcBorders>
              <w:bottom w:val="single" w:sz="4" w:space="0" w:color="auto"/>
            </w:tcBorders>
            <w:shd w:val="clear" w:color="auto" w:fill="0DA72A"/>
            <w:tcMar>
              <w:top w:w="28" w:type="dxa"/>
              <w:bottom w:w="28" w:type="dxa"/>
            </w:tcMar>
            <w:vAlign w:val="center"/>
          </w:tcPr>
          <w:p w:rsidR="00B86C6B" w:rsidRPr="00A8208F" w:rsidRDefault="00B86C6B"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w:t>
            </w:r>
          </w:p>
        </w:tc>
        <w:tc>
          <w:tcPr>
            <w:tcW w:w="2551"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12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B86C6B" w:rsidRPr="00957197" w:rsidTr="008A645C">
        <w:trPr>
          <w:trHeight w:val="151"/>
        </w:trPr>
        <w:tc>
          <w:tcPr>
            <w:tcW w:w="1856" w:type="dxa"/>
            <w:tcBorders>
              <w:bottom w:val="single" w:sz="4" w:space="0" w:color="auto"/>
            </w:tcBorders>
            <w:tcMar>
              <w:top w:w="85" w:type="dxa"/>
              <w:bottom w:w="85" w:type="dxa"/>
            </w:tcMar>
          </w:tcPr>
          <w:p w:rsidR="00B86C6B" w:rsidRPr="0055765D" w:rsidRDefault="00AB5105" w:rsidP="00542173">
            <w:pPr>
              <w:widowControl w:val="0"/>
              <w:rPr>
                <w:rFonts w:ascii="Verdana" w:hAnsi="Verdana" w:cs="Tahoma"/>
                <w:b/>
                <w:bCs/>
                <w:sz w:val="16"/>
                <w:szCs w:val="16"/>
              </w:rPr>
            </w:pPr>
            <w:r>
              <w:rPr>
                <w:rFonts w:ascii="Verdana" w:hAnsi="Verdana"/>
                <w:b/>
                <w:sz w:val="16"/>
              </w:rPr>
              <w:t xml:space="preserve">Kontaminanti u pomoćnim tvarima u procesu proizvodnje  </w:t>
            </w:r>
          </w:p>
          <w:p w:rsidR="00B86C6B" w:rsidRPr="0055765D" w:rsidRDefault="00B86C6B" w:rsidP="00542173">
            <w:pPr>
              <w:widowControl w:val="0"/>
              <w:rPr>
                <w:rFonts w:ascii="Verdana" w:hAnsi="Verdana" w:cs="Tahoma"/>
                <w:b/>
                <w:bCs/>
                <w:sz w:val="16"/>
                <w:szCs w:val="16"/>
              </w:rPr>
            </w:pPr>
            <w:r>
              <w:rPr>
                <w:rFonts w:ascii="Verdana" w:hAnsi="Verdana"/>
                <w:b/>
                <w:sz w:val="16"/>
              </w:rPr>
              <w:t>(lužnate otopine, kiseline)</w:t>
            </w:r>
          </w:p>
        </w:tc>
        <w:tc>
          <w:tcPr>
            <w:tcW w:w="636" w:type="dxa"/>
            <w:tcBorders>
              <w:bottom w:val="single" w:sz="4" w:space="0" w:color="auto"/>
            </w:tcBorders>
            <w:tcMar>
              <w:top w:w="85" w:type="dxa"/>
              <w:bottom w:w="85" w:type="dxa"/>
            </w:tcMar>
          </w:tcPr>
          <w:p w:rsidR="00B86C6B" w:rsidRPr="0055765D" w:rsidRDefault="00B86C6B" w:rsidP="00542173">
            <w:pPr>
              <w:widowControl w:val="0"/>
              <w:jc w:val="center"/>
              <w:rPr>
                <w:rFonts w:ascii="Verdana" w:hAnsi="Verdana" w:cs="Tahoma"/>
                <w:sz w:val="16"/>
                <w:szCs w:val="16"/>
              </w:rPr>
            </w:pPr>
            <w:r>
              <w:rPr>
                <w:rFonts w:ascii="Verdana" w:hAnsi="Verdana"/>
                <w:sz w:val="16"/>
              </w:rPr>
              <w:t>K</w:t>
            </w:r>
          </w:p>
        </w:tc>
        <w:tc>
          <w:tcPr>
            <w:tcW w:w="877"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 xml:space="preserve"> mala</w:t>
            </w:r>
          </w:p>
        </w:tc>
        <w:tc>
          <w:tcPr>
            <w:tcW w:w="1417" w:type="dxa"/>
            <w:tcBorders>
              <w:bottom w:val="single" w:sz="4" w:space="0" w:color="auto"/>
            </w:tcBorders>
            <w:tcMar>
              <w:top w:w="85" w:type="dxa"/>
              <w:bottom w:w="85" w:type="dxa"/>
            </w:tcMar>
          </w:tcPr>
          <w:p w:rsidR="00B86C6B" w:rsidRPr="0055765D" w:rsidRDefault="00FF185B" w:rsidP="00542173">
            <w:pPr>
              <w:widowControl w:val="0"/>
              <w:jc w:val="center"/>
              <w:rPr>
                <w:rFonts w:ascii="Verdana" w:hAnsi="Verdana" w:cs="Tahoma"/>
                <w:sz w:val="16"/>
                <w:szCs w:val="16"/>
              </w:rPr>
            </w:pPr>
            <w:r>
              <w:rPr>
                <w:rFonts w:ascii="Verdana" w:hAnsi="Verdana"/>
                <w:sz w:val="16"/>
              </w:rPr>
              <w:t>umjerena</w:t>
            </w:r>
          </w:p>
        </w:tc>
        <w:tc>
          <w:tcPr>
            <w:tcW w:w="851" w:type="dxa"/>
            <w:tcBorders>
              <w:bottom w:val="single" w:sz="4" w:space="0" w:color="auto"/>
            </w:tcBorders>
            <w:shd w:val="clear" w:color="auto" w:fill="auto"/>
            <w:tcMar>
              <w:top w:w="85" w:type="dxa"/>
              <w:bottom w:w="85" w:type="dxa"/>
            </w:tcMar>
          </w:tcPr>
          <w:p w:rsidR="00B86C6B" w:rsidRPr="0055765D" w:rsidRDefault="00CE6A2B" w:rsidP="00CE6A2B">
            <w:pPr>
              <w:widowControl w:val="0"/>
              <w:jc w:val="center"/>
              <w:rPr>
                <w:rFonts w:ascii="Verdana" w:hAnsi="Verdana" w:cs="Tahoma"/>
                <w:sz w:val="16"/>
                <w:szCs w:val="16"/>
              </w:rPr>
            </w:pPr>
            <w:r>
              <w:rPr>
                <w:rFonts w:ascii="Verdana" w:hAnsi="Verdana"/>
                <w:sz w:val="16"/>
              </w:rPr>
              <w:t xml:space="preserve">2 </w:t>
            </w:r>
          </w:p>
        </w:tc>
        <w:tc>
          <w:tcPr>
            <w:tcW w:w="2524"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Pomoćne tvari u procesu proizvodnje dolaze u dodir s proizvodom.</w:t>
            </w:r>
          </w:p>
        </w:tc>
        <w:tc>
          <w:tcPr>
            <w:tcW w:w="1870" w:type="dxa"/>
            <w:tcBorders>
              <w:bottom w:val="single" w:sz="4" w:space="0" w:color="auto"/>
            </w:tcBorders>
            <w:tcMar>
              <w:top w:w="85" w:type="dxa"/>
              <w:bottom w:w="85" w:type="dxa"/>
            </w:tcMar>
          </w:tcPr>
          <w:p w:rsidR="00B86C6B" w:rsidRPr="0055765D" w:rsidRDefault="00CB6F5D" w:rsidP="00542173">
            <w:pPr>
              <w:widowControl w:val="0"/>
              <w:rPr>
                <w:rFonts w:ascii="Verdana" w:hAnsi="Verdana" w:cs="Tahoma"/>
                <w:sz w:val="16"/>
                <w:szCs w:val="16"/>
              </w:rPr>
            </w:pPr>
            <w:r>
              <w:rPr>
                <w:rFonts w:ascii="Verdana" w:hAnsi="Verdana"/>
                <w:sz w:val="16"/>
              </w:rPr>
              <w:t xml:space="preserve">Uredba </w:t>
            </w:r>
            <w:r w:rsidR="004E67F7">
              <w:rPr>
                <w:rFonts w:ascii="Verdana" w:hAnsi="Verdana"/>
                <w:sz w:val="16"/>
              </w:rPr>
              <w:t>(</w:t>
            </w:r>
            <w:r>
              <w:rPr>
                <w:rFonts w:ascii="Verdana" w:hAnsi="Verdana"/>
                <w:sz w:val="16"/>
              </w:rPr>
              <w:t>E</w:t>
            </w:r>
            <w:r w:rsidR="004E67F7">
              <w:rPr>
                <w:rFonts w:ascii="Verdana" w:hAnsi="Verdana"/>
                <w:sz w:val="16"/>
              </w:rPr>
              <w:t>U)</w:t>
            </w:r>
            <w:r>
              <w:rPr>
                <w:rFonts w:ascii="Verdana" w:hAnsi="Verdana"/>
                <w:sz w:val="16"/>
              </w:rPr>
              <w:t xml:space="preserve"> 68/2013 o Katalogu krmiva</w:t>
            </w:r>
          </w:p>
        </w:tc>
        <w:tc>
          <w:tcPr>
            <w:tcW w:w="2551"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 xml:space="preserve">Pomoćne tvari u procesu proizvodnje koje izravno dođu u dodir s uljem moraju se ocijeniti te se moraju poduzeti odgovarajuće mjere kako bi se rizik smanjio na prihvatljive razine. </w:t>
            </w:r>
          </w:p>
          <w:p w:rsidR="00B86C6B" w:rsidRPr="0055765D" w:rsidRDefault="00B86C6B" w:rsidP="00542173">
            <w:pPr>
              <w:widowControl w:val="0"/>
              <w:rPr>
                <w:rFonts w:ascii="Verdana" w:hAnsi="Verdana" w:cs="Tahoma"/>
                <w:sz w:val="16"/>
                <w:szCs w:val="16"/>
              </w:rPr>
            </w:pPr>
          </w:p>
          <w:p w:rsidR="00B86C6B" w:rsidRPr="0055765D" w:rsidRDefault="001062E6" w:rsidP="00542173">
            <w:pPr>
              <w:widowControl w:val="0"/>
              <w:rPr>
                <w:rFonts w:ascii="Verdana" w:hAnsi="Verdana" w:cs="Tahoma"/>
                <w:sz w:val="16"/>
                <w:szCs w:val="16"/>
              </w:rPr>
            </w:pPr>
            <w:r>
              <w:rPr>
                <w:rFonts w:ascii="Verdana" w:hAnsi="Verdana"/>
                <w:sz w:val="16"/>
              </w:rPr>
              <w:t>Linijsko praćenje postupka, ispravno označivanje spremnika za kemikalije</w:t>
            </w:r>
          </w:p>
        </w:tc>
        <w:tc>
          <w:tcPr>
            <w:tcW w:w="2127"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p>
        </w:tc>
      </w:tr>
      <w:tr w:rsidR="00B86C6B" w:rsidRPr="00957197" w:rsidTr="00B86C6B">
        <w:trPr>
          <w:trHeight w:val="151"/>
        </w:trPr>
        <w:tc>
          <w:tcPr>
            <w:tcW w:w="1856" w:type="dxa"/>
            <w:tcMar>
              <w:top w:w="85" w:type="dxa"/>
              <w:bottom w:w="85" w:type="dxa"/>
            </w:tcMar>
          </w:tcPr>
          <w:p w:rsidR="00B86C6B" w:rsidRPr="0055765D" w:rsidRDefault="00B86C6B" w:rsidP="00542173">
            <w:pPr>
              <w:rPr>
                <w:rFonts w:ascii="Verdana" w:hAnsi="Verdana" w:cs="Tahoma"/>
                <w:b/>
                <w:bCs/>
                <w:sz w:val="16"/>
                <w:szCs w:val="16"/>
              </w:rPr>
            </w:pPr>
            <w:r>
              <w:rPr>
                <w:rFonts w:ascii="Verdana" w:hAnsi="Verdana"/>
                <w:b/>
                <w:sz w:val="16"/>
              </w:rPr>
              <w:t>Kontaminacija do koje je došlo tijekom dodavanja metanola</w:t>
            </w:r>
          </w:p>
          <w:p w:rsidR="00B86C6B" w:rsidRPr="0055765D" w:rsidRDefault="00B86C6B" w:rsidP="00542173">
            <w:pPr>
              <w:widowControl w:val="0"/>
              <w:rPr>
                <w:rFonts w:ascii="Verdana" w:hAnsi="Verdana" w:cs="Tahoma"/>
                <w:b/>
                <w:bCs/>
                <w:sz w:val="16"/>
                <w:szCs w:val="16"/>
              </w:rPr>
            </w:pPr>
          </w:p>
        </w:tc>
        <w:tc>
          <w:tcPr>
            <w:tcW w:w="636" w:type="dxa"/>
            <w:tcMar>
              <w:top w:w="85" w:type="dxa"/>
              <w:bottom w:w="85" w:type="dxa"/>
            </w:tcMar>
          </w:tcPr>
          <w:p w:rsidR="00B86C6B" w:rsidRPr="0055765D" w:rsidRDefault="00B86C6B" w:rsidP="00542173">
            <w:pPr>
              <w:jc w:val="center"/>
              <w:rPr>
                <w:rFonts w:ascii="Verdana" w:hAnsi="Verdana" w:cs="Tahoma"/>
                <w:sz w:val="16"/>
                <w:szCs w:val="16"/>
              </w:rPr>
            </w:pPr>
          </w:p>
        </w:tc>
        <w:tc>
          <w:tcPr>
            <w:tcW w:w="877"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mala</w:t>
            </w:r>
          </w:p>
        </w:tc>
        <w:tc>
          <w:tcPr>
            <w:tcW w:w="1417"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umjerena</w:t>
            </w:r>
          </w:p>
        </w:tc>
        <w:tc>
          <w:tcPr>
            <w:tcW w:w="851"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2</w:t>
            </w:r>
          </w:p>
        </w:tc>
        <w:tc>
          <w:tcPr>
            <w:tcW w:w="2524" w:type="dxa"/>
            <w:tcMar>
              <w:top w:w="85" w:type="dxa"/>
              <w:bottom w:w="85" w:type="dxa"/>
            </w:tcMar>
          </w:tcPr>
          <w:p w:rsidR="00B86C6B" w:rsidRPr="0055765D" w:rsidRDefault="00B86C6B" w:rsidP="00B06E5A">
            <w:pPr>
              <w:rPr>
                <w:rFonts w:ascii="Verdana" w:hAnsi="Verdana" w:cs="Tahoma"/>
                <w:sz w:val="16"/>
                <w:szCs w:val="16"/>
              </w:rPr>
            </w:pPr>
            <w:r>
              <w:rPr>
                <w:rFonts w:ascii="Verdana" w:hAnsi="Verdana"/>
                <w:sz w:val="16"/>
              </w:rPr>
              <w:t>Nepoželjne tvari u metanolu</w:t>
            </w:r>
          </w:p>
        </w:tc>
        <w:tc>
          <w:tcPr>
            <w:tcW w:w="1870" w:type="dxa"/>
            <w:tcMar>
              <w:top w:w="85" w:type="dxa"/>
              <w:bottom w:w="85" w:type="dxa"/>
            </w:tcMar>
          </w:tcPr>
          <w:p w:rsidR="00B86C6B" w:rsidRPr="0055765D" w:rsidRDefault="00B86C6B" w:rsidP="00542173">
            <w:pPr>
              <w:rPr>
                <w:rFonts w:ascii="Verdana" w:hAnsi="Verdana" w:cs="Tahoma"/>
                <w:sz w:val="16"/>
                <w:szCs w:val="16"/>
              </w:rPr>
            </w:pPr>
          </w:p>
        </w:tc>
        <w:tc>
          <w:tcPr>
            <w:tcW w:w="2551" w:type="dxa"/>
            <w:tcMar>
              <w:top w:w="85" w:type="dxa"/>
              <w:bottom w:w="85" w:type="dxa"/>
            </w:tcMar>
          </w:tcPr>
          <w:p w:rsidR="00B86C6B" w:rsidRPr="0055765D" w:rsidRDefault="00B86C6B" w:rsidP="00542173">
            <w:pPr>
              <w:widowControl w:val="0"/>
              <w:rPr>
                <w:rFonts w:ascii="Verdana" w:hAnsi="Verdana" w:cs="Tahoma"/>
                <w:iCs/>
                <w:sz w:val="16"/>
                <w:szCs w:val="16"/>
              </w:rPr>
            </w:pPr>
            <w:r>
              <w:rPr>
                <w:rFonts w:ascii="Verdana" w:hAnsi="Verdana"/>
                <w:sz w:val="16"/>
              </w:rPr>
              <w:t xml:space="preserve">Primijeniti metanol odgovarajuće kakvoće </w:t>
            </w:r>
          </w:p>
          <w:p w:rsidR="00B86C6B" w:rsidRPr="0055765D" w:rsidRDefault="00B86C6B" w:rsidP="00542173">
            <w:pPr>
              <w:widowControl w:val="0"/>
              <w:rPr>
                <w:rFonts w:ascii="Verdana" w:hAnsi="Verdana" w:cs="Tahoma"/>
                <w:iCs/>
                <w:sz w:val="16"/>
                <w:szCs w:val="16"/>
              </w:rPr>
            </w:pPr>
          </w:p>
          <w:p w:rsidR="00B86C6B" w:rsidRPr="0055765D" w:rsidRDefault="00B86C6B" w:rsidP="00542173">
            <w:pPr>
              <w:widowControl w:val="0"/>
              <w:rPr>
                <w:rFonts w:ascii="Verdana" w:hAnsi="Verdana" w:cs="Tahoma"/>
                <w:iCs/>
                <w:sz w:val="16"/>
                <w:szCs w:val="16"/>
              </w:rPr>
            </w:pPr>
            <w:r>
              <w:rPr>
                <w:rFonts w:ascii="Verdana" w:hAnsi="Verdana"/>
                <w:sz w:val="16"/>
              </w:rPr>
              <w:t>Opisano u specifikaciji izvođača</w:t>
            </w:r>
          </w:p>
          <w:p w:rsidR="00B86C6B" w:rsidRPr="0055765D" w:rsidRDefault="00B86C6B" w:rsidP="00542173">
            <w:pPr>
              <w:widowControl w:val="0"/>
              <w:rPr>
                <w:rFonts w:ascii="Verdana" w:hAnsi="Verdana" w:cs="Tahoma"/>
                <w:iCs/>
                <w:sz w:val="16"/>
                <w:szCs w:val="16"/>
              </w:rPr>
            </w:pPr>
          </w:p>
          <w:p w:rsidR="00B86C6B" w:rsidRPr="0055765D" w:rsidRDefault="00B86C6B" w:rsidP="00542173">
            <w:pPr>
              <w:widowControl w:val="0"/>
              <w:rPr>
                <w:rFonts w:ascii="Verdana" w:hAnsi="Verdana" w:cs="Tahoma"/>
                <w:iCs/>
                <w:sz w:val="16"/>
                <w:szCs w:val="16"/>
              </w:rPr>
            </w:pPr>
            <w:r>
              <w:rPr>
                <w:rFonts w:ascii="Verdana" w:hAnsi="Verdana"/>
                <w:sz w:val="16"/>
              </w:rPr>
              <w:t>Izravno praćenje postupka, ispravno označivanje spremnika za kemikalije</w:t>
            </w:r>
          </w:p>
        </w:tc>
        <w:tc>
          <w:tcPr>
            <w:tcW w:w="2127" w:type="dxa"/>
            <w:tcMar>
              <w:top w:w="85" w:type="dxa"/>
              <w:bottom w:w="85" w:type="dxa"/>
            </w:tcMar>
          </w:tcPr>
          <w:p w:rsidR="00B86C6B" w:rsidRPr="0055765D" w:rsidRDefault="00B86C6B" w:rsidP="000D26DF">
            <w:pPr>
              <w:rPr>
                <w:rFonts w:ascii="Verdana" w:hAnsi="Verdana" w:cs="Tahoma"/>
                <w:sz w:val="16"/>
                <w:szCs w:val="16"/>
              </w:rPr>
            </w:pPr>
            <w:r>
              <w:rPr>
                <w:rFonts w:ascii="Verdana" w:hAnsi="Verdana"/>
                <w:sz w:val="16"/>
              </w:rPr>
              <w:t>U aktivnostima malog opsega</w:t>
            </w:r>
            <w:r>
              <w:rPr>
                <w:rFonts w:ascii="Verdana" w:hAnsi="Verdana" w:cs="Tahoma"/>
                <w:sz w:val="16"/>
                <w:szCs w:val="16"/>
              </w:rPr>
              <w:br/>
            </w:r>
            <w:r>
              <w:rPr>
                <w:rFonts w:ascii="Verdana" w:hAnsi="Verdana"/>
                <w:sz w:val="16"/>
              </w:rPr>
              <w:t>rukovanje opasnim kemikalijama može predstavljati veći rizik za subjekt ako se te kemikalije prenose ručno i upotrebljavaju u serijskom postupku u odnosu na automatizirani sustav.</w:t>
            </w:r>
          </w:p>
        </w:tc>
      </w:tr>
      <w:tr w:rsidR="00286D0F" w:rsidRPr="00957197" w:rsidTr="00B86C6B">
        <w:trPr>
          <w:trHeight w:val="151"/>
        </w:trPr>
        <w:tc>
          <w:tcPr>
            <w:tcW w:w="1856" w:type="dxa"/>
            <w:tcMar>
              <w:top w:w="85" w:type="dxa"/>
              <w:bottom w:w="85" w:type="dxa"/>
            </w:tcMar>
          </w:tcPr>
          <w:p w:rsidR="00286D0F" w:rsidRDefault="00286D0F" w:rsidP="00542173">
            <w:pPr>
              <w:rPr>
                <w:rFonts w:ascii="Verdana" w:hAnsi="Verdana"/>
                <w:b/>
                <w:sz w:val="16"/>
              </w:rPr>
            </w:pPr>
            <w:r>
              <w:rPr>
                <w:rFonts w:ascii="Verdana" w:hAnsi="Verdana"/>
                <w:b/>
                <w:sz w:val="16"/>
              </w:rPr>
              <w:t>Kontaminacija do koje je došlo tijekom dodavanja katalizatora</w:t>
            </w:r>
          </w:p>
        </w:tc>
        <w:tc>
          <w:tcPr>
            <w:tcW w:w="636" w:type="dxa"/>
            <w:tcMar>
              <w:top w:w="85" w:type="dxa"/>
              <w:bottom w:w="85" w:type="dxa"/>
            </w:tcMar>
          </w:tcPr>
          <w:p w:rsidR="00286D0F" w:rsidRPr="0055765D" w:rsidRDefault="00286D0F" w:rsidP="00542173">
            <w:pPr>
              <w:jc w:val="center"/>
              <w:rPr>
                <w:rFonts w:ascii="Verdana" w:hAnsi="Verdana" w:cs="Tahoma"/>
                <w:sz w:val="16"/>
                <w:szCs w:val="16"/>
              </w:rPr>
            </w:pPr>
          </w:p>
        </w:tc>
        <w:tc>
          <w:tcPr>
            <w:tcW w:w="877" w:type="dxa"/>
            <w:tcMar>
              <w:top w:w="85" w:type="dxa"/>
              <w:bottom w:w="85" w:type="dxa"/>
            </w:tcMar>
          </w:tcPr>
          <w:p w:rsidR="00286D0F" w:rsidRDefault="00286D0F" w:rsidP="00542173">
            <w:pPr>
              <w:jc w:val="center"/>
              <w:rPr>
                <w:rFonts w:ascii="Verdana" w:hAnsi="Verdana"/>
                <w:sz w:val="16"/>
              </w:rPr>
            </w:pPr>
            <w:r>
              <w:rPr>
                <w:rFonts w:ascii="Verdana" w:hAnsi="Verdana"/>
                <w:sz w:val="16"/>
              </w:rPr>
              <w:t>mala</w:t>
            </w:r>
          </w:p>
        </w:tc>
        <w:tc>
          <w:tcPr>
            <w:tcW w:w="1417" w:type="dxa"/>
            <w:tcMar>
              <w:top w:w="85" w:type="dxa"/>
              <w:bottom w:w="85" w:type="dxa"/>
            </w:tcMar>
          </w:tcPr>
          <w:p w:rsidR="00286D0F" w:rsidRDefault="00286D0F" w:rsidP="00542173">
            <w:pPr>
              <w:jc w:val="center"/>
              <w:rPr>
                <w:rFonts w:ascii="Verdana" w:hAnsi="Verdana"/>
                <w:sz w:val="16"/>
              </w:rPr>
            </w:pPr>
            <w:r>
              <w:rPr>
                <w:rFonts w:ascii="Verdana" w:hAnsi="Verdana"/>
                <w:sz w:val="16"/>
              </w:rPr>
              <w:t>umjerena</w:t>
            </w:r>
          </w:p>
        </w:tc>
        <w:tc>
          <w:tcPr>
            <w:tcW w:w="851" w:type="dxa"/>
            <w:tcMar>
              <w:top w:w="85" w:type="dxa"/>
              <w:bottom w:w="85" w:type="dxa"/>
            </w:tcMar>
          </w:tcPr>
          <w:p w:rsidR="00286D0F" w:rsidRDefault="00286D0F" w:rsidP="00542173">
            <w:pPr>
              <w:jc w:val="center"/>
              <w:rPr>
                <w:rFonts w:ascii="Verdana" w:hAnsi="Verdana"/>
                <w:sz w:val="16"/>
              </w:rPr>
            </w:pPr>
            <w:r>
              <w:rPr>
                <w:rFonts w:ascii="Verdana" w:hAnsi="Verdana"/>
                <w:sz w:val="16"/>
              </w:rPr>
              <w:t>2</w:t>
            </w:r>
          </w:p>
        </w:tc>
        <w:tc>
          <w:tcPr>
            <w:tcW w:w="2524" w:type="dxa"/>
            <w:tcMar>
              <w:top w:w="85" w:type="dxa"/>
              <w:bottom w:w="85" w:type="dxa"/>
            </w:tcMar>
          </w:tcPr>
          <w:p w:rsidR="00286D0F" w:rsidRDefault="00286D0F" w:rsidP="00B06E5A">
            <w:pPr>
              <w:rPr>
                <w:rFonts w:ascii="Verdana" w:hAnsi="Verdana"/>
                <w:sz w:val="16"/>
              </w:rPr>
            </w:pPr>
            <w:r>
              <w:rPr>
                <w:rFonts w:ascii="Verdana" w:hAnsi="Verdana"/>
                <w:sz w:val="16"/>
              </w:rPr>
              <w:t>Nepoželjne tvari u katalizatoru</w:t>
            </w:r>
          </w:p>
        </w:tc>
        <w:tc>
          <w:tcPr>
            <w:tcW w:w="1870" w:type="dxa"/>
            <w:tcMar>
              <w:top w:w="85" w:type="dxa"/>
              <w:bottom w:w="85" w:type="dxa"/>
            </w:tcMar>
          </w:tcPr>
          <w:p w:rsidR="00286D0F" w:rsidRPr="0055765D" w:rsidRDefault="00286D0F" w:rsidP="00542173">
            <w:pPr>
              <w:rPr>
                <w:rFonts w:ascii="Verdana" w:hAnsi="Verdana" w:cs="Tahoma"/>
                <w:sz w:val="16"/>
                <w:szCs w:val="16"/>
              </w:rPr>
            </w:pPr>
          </w:p>
        </w:tc>
        <w:tc>
          <w:tcPr>
            <w:tcW w:w="2551" w:type="dxa"/>
            <w:tcMar>
              <w:top w:w="85" w:type="dxa"/>
              <w:bottom w:w="85" w:type="dxa"/>
            </w:tcMar>
          </w:tcPr>
          <w:p w:rsidR="004E67F7" w:rsidRDefault="004E67F7" w:rsidP="00542173">
            <w:pPr>
              <w:widowControl w:val="0"/>
              <w:rPr>
                <w:rFonts w:ascii="Verdana" w:hAnsi="Verdana"/>
                <w:sz w:val="16"/>
              </w:rPr>
            </w:pPr>
            <w:r>
              <w:rPr>
                <w:rFonts w:ascii="Verdana" w:hAnsi="Verdana"/>
                <w:sz w:val="16"/>
              </w:rPr>
              <w:t>Primjena katalizatora primjerene kvalitete</w:t>
            </w:r>
          </w:p>
          <w:p w:rsidR="004E67F7" w:rsidRDefault="004E67F7" w:rsidP="00542173">
            <w:pPr>
              <w:widowControl w:val="0"/>
              <w:rPr>
                <w:rFonts w:ascii="Verdana" w:hAnsi="Verdana"/>
                <w:sz w:val="16"/>
              </w:rPr>
            </w:pPr>
          </w:p>
          <w:p w:rsidR="004E67F7" w:rsidRDefault="004E67F7" w:rsidP="00542173">
            <w:pPr>
              <w:widowControl w:val="0"/>
              <w:rPr>
                <w:rFonts w:ascii="Verdana" w:hAnsi="Verdana"/>
                <w:sz w:val="16"/>
              </w:rPr>
            </w:pPr>
            <w:r>
              <w:rPr>
                <w:rFonts w:ascii="Verdana" w:hAnsi="Verdana"/>
                <w:sz w:val="16"/>
              </w:rPr>
              <w:t>Opisano u specifikaciji proizvođača</w:t>
            </w:r>
          </w:p>
          <w:p w:rsidR="004E67F7" w:rsidRDefault="004E67F7" w:rsidP="00542173">
            <w:pPr>
              <w:widowControl w:val="0"/>
              <w:rPr>
                <w:rFonts w:ascii="Verdana" w:hAnsi="Verdana"/>
                <w:sz w:val="16"/>
              </w:rPr>
            </w:pPr>
          </w:p>
          <w:p w:rsidR="00286D0F" w:rsidRDefault="004E67F7" w:rsidP="00542173">
            <w:pPr>
              <w:widowControl w:val="0"/>
              <w:rPr>
                <w:rFonts w:ascii="Verdana" w:hAnsi="Verdana"/>
                <w:sz w:val="16"/>
              </w:rPr>
            </w:pPr>
            <w:r>
              <w:rPr>
                <w:rFonts w:ascii="Verdana" w:hAnsi="Verdana"/>
                <w:sz w:val="16"/>
              </w:rPr>
              <w:t>Izravno praćenje postupka, ispravno označivanje spremnika za kemikalije</w:t>
            </w:r>
          </w:p>
        </w:tc>
        <w:tc>
          <w:tcPr>
            <w:tcW w:w="2127" w:type="dxa"/>
            <w:tcMar>
              <w:top w:w="85" w:type="dxa"/>
              <w:bottom w:w="85" w:type="dxa"/>
            </w:tcMar>
          </w:tcPr>
          <w:p w:rsidR="00286D0F" w:rsidRDefault="00286D0F" w:rsidP="00542173">
            <w:pPr>
              <w:rPr>
                <w:rFonts w:ascii="Verdana" w:hAnsi="Verdana"/>
                <w:sz w:val="16"/>
              </w:rPr>
            </w:pPr>
          </w:p>
        </w:tc>
      </w:tr>
    </w:tbl>
    <w:p w:rsidR="00B86C6B" w:rsidRDefault="00B86C6B" w:rsidP="004E54A8">
      <w:pPr>
        <w:rPr>
          <w:rFonts w:ascii="Verdana" w:hAnsi="Verdana" w:cs="Tahoma"/>
          <w:sz w:val="14"/>
          <w:szCs w:val="14"/>
        </w:rPr>
      </w:pPr>
    </w:p>
    <w:p w:rsidR="00B86C6B" w:rsidRDefault="00B86C6B">
      <w:pPr>
        <w:rPr>
          <w:rFonts w:ascii="Verdana" w:hAnsi="Verdana" w:cs="Tahoma"/>
          <w:sz w:val="14"/>
          <w:szCs w:val="14"/>
        </w:rPr>
      </w:pPr>
      <w:r>
        <w:br w:type="page"/>
      </w: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642"/>
        <w:gridCol w:w="993"/>
        <w:gridCol w:w="1418"/>
        <w:gridCol w:w="850"/>
        <w:gridCol w:w="2410"/>
        <w:gridCol w:w="2268"/>
        <w:gridCol w:w="2126"/>
        <w:gridCol w:w="1985"/>
      </w:tblGrid>
      <w:tr w:rsidR="00C724B8" w:rsidRPr="00957197" w:rsidTr="003E010C">
        <w:trPr>
          <w:trHeight w:val="482"/>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Pristup temeljen na riziku za glicerin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639" w:type="dxa"/>
            <w:gridSpan w:val="5"/>
            <w:tcBorders>
              <w:left w:val="nil"/>
              <w:bottom w:val="single" w:sz="4" w:space="0" w:color="auto"/>
            </w:tcBorders>
            <w:shd w:val="clear" w:color="auto" w:fill="0DA72A"/>
            <w:tcMar>
              <w:top w:w="57" w:type="dxa"/>
              <w:bottom w:w="57" w:type="dxa"/>
            </w:tcMar>
            <w:vAlign w:val="center"/>
          </w:tcPr>
          <w:p w:rsidR="00C724B8" w:rsidRPr="00957197" w:rsidRDefault="00C724B8" w:rsidP="004E54A8">
            <w:pPr>
              <w:widowControl w:val="0"/>
              <w:rPr>
                <w:rFonts w:ascii="Verdana" w:hAnsi="Verdana" w:cs="Tahoma"/>
                <w:b/>
                <w:color w:val="FFFFFF"/>
                <w:sz w:val="28"/>
                <w:szCs w:val="28"/>
              </w:rPr>
            </w:pPr>
            <w:r>
              <w:rPr>
                <w:rFonts w:ascii="Verdana" w:hAnsi="Verdana"/>
                <w:b/>
                <w:color w:val="FFFFFF"/>
                <w:sz w:val="28"/>
              </w:rPr>
              <w:t>5. Faza 2. od 3 – Transesterifikacija (faza odvajanja)</w:t>
            </w:r>
          </w:p>
        </w:tc>
      </w:tr>
      <w:tr w:rsidR="00B86C6B" w:rsidRPr="00957197" w:rsidTr="003E010C">
        <w:trPr>
          <w:trHeight w:val="993"/>
        </w:trPr>
        <w:tc>
          <w:tcPr>
            <w:tcW w:w="187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4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993"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41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226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I/ILI UVJETI UGOVORA </w:t>
            </w:r>
          </w:p>
        </w:tc>
        <w:tc>
          <w:tcPr>
            <w:tcW w:w="2126"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198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B86C6B" w:rsidRPr="00957197" w:rsidTr="000C7703">
        <w:trPr>
          <w:trHeight w:val="357"/>
        </w:trPr>
        <w:tc>
          <w:tcPr>
            <w:tcW w:w="1875" w:type="dxa"/>
            <w:tcMar>
              <w:top w:w="85" w:type="dxa"/>
              <w:bottom w:w="85" w:type="dxa"/>
            </w:tcMar>
          </w:tcPr>
          <w:p w:rsidR="00F81C3B" w:rsidRPr="0055765D" w:rsidRDefault="00F81C3B" w:rsidP="004E54A8">
            <w:pPr>
              <w:widowControl w:val="0"/>
              <w:rPr>
                <w:rFonts w:ascii="Verdana" w:hAnsi="Verdana" w:cs="Tahoma"/>
                <w:b/>
                <w:bCs/>
                <w:sz w:val="16"/>
                <w:szCs w:val="16"/>
              </w:rPr>
            </w:pPr>
          </w:p>
          <w:p w:rsidR="00B86C6B" w:rsidRPr="0055765D" w:rsidRDefault="00B86C6B" w:rsidP="009A2121">
            <w:pPr>
              <w:widowControl w:val="0"/>
              <w:rPr>
                <w:rFonts w:ascii="Verdana" w:hAnsi="Verdana" w:cs="Tahoma"/>
                <w:b/>
                <w:bCs/>
                <w:sz w:val="16"/>
                <w:szCs w:val="16"/>
              </w:rPr>
            </w:pPr>
            <w:r>
              <w:rPr>
                <w:rFonts w:ascii="Verdana" w:hAnsi="Verdana"/>
                <w:b/>
                <w:sz w:val="16"/>
              </w:rPr>
              <w:t>Ostaci metilnog estera u glicerinu</w:t>
            </w:r>
          </w:p>
        </w:tc>
        <w:tc>
          <w:tcPr>
            <w:tcW w:w="642" w:type="dxa"/>
            <w:tcMar>
              <w:top w:w="85" w:type="dxa"/>
              <w:bottom w:w="85" w:type="dxa"/>
            </w:tcMar>
          </w:tcPr>
          <w:p w:rsidR="00B86C6B" w:rsidRDefault="00B86C6B" w:rsidP="004E54A8">
            <w:pPr>
              <w:widowControl w:val="0"/>
              <w:jc w:val="center"/>
              <w:rPr>
                <w:rFonts w:ascii="Verdana" w:hAnsi="Verdana" w:cs="Tahoma"/>
                <w:sz w:val="16"/>
                <w:szCs w:val="16"/>
              </w:rPr>
            </w:pPr>
          </w:p>
          <w:p w:rsidR="000C7703" w:rsidRPr="0055765D" w:rsidRDefault="000C7703" w:rsidP="004E54A8">
            <w:pPr>
              <w:widowControl w:val="0"/>
              <w:jc w:val="center"/>
              <w:rPr>
                <w:rFonts w:ascii="Verdana" w:hAnsi="Verdana" w:cs="Tahoma"/>
                <w:sz w:val="16"/>
                <w:szCs w:val="16"/>
              </w:rPr>
            </w:pPr>
            <w:r>
              <w:rPr>
                <w:rFonts w:ascii="Verdana" w:hAnsi="Verdana"/>
                <w:sz w:val="16"/>
              </w:rPr>
              <w:t>K</w:t>
            </w:r>
          </w:p>
        </w:tc>
        <w:tc>
          <w:tcPr>
            <w:tcW w:w="993"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0C7703">
            <w:pPr>
              <w:widowControl w:val="0"/>
              <w:jc w:val="center"/>
              <w:rPr>
                <w:rFonts w:ascii="Verdana" w:hAnsi="Verdana" w:cs="Tahoma"/>
                <w:sz w:val="16"/>
                <w:szCs w:val="16"/>
              </w:rPr>
            </w:pPr>
            <w:r>
              <w:rPr>
                <w:rFonts w:ascii="Verdana" w:hAnsi="Verdana"/>
                <w:sz w:val="16"/>
              </w:rPr>
              <w:t xml:space="preserve"> mala</w:t>
            </w:r>
          </w:p>
        </w:tc>
        <w:tc>
          <w:tcPr>
            <w:tcW w:w="1418"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B86C6B" w:rsidP="004E54A8">
            <w:pPr>
              <w:widowControl w:val="0"/>
              <w:jc w:val="center"/>
              <w:rPr>
                <w:rFonts w:ascii="Verdana" w:hAnsi="Verdana" w:cs="Tahoma"/>
                <w:sz w:val="16"/>
                <w:szCs w:val="16"/>
              </w:rPr>
            </w:pPr>
            <w:r>
              <w:rPr>
                <w:rFonts w:ascii="Verdana" w:hAnsi="Verdana"/>
                <w:sz w:val="16"/>
              </w:rPr>
              <w:t>velika</w:t>
            </w:r>
          </w:p>
        </w:tc>
        <w:tc>
          <w:tcPr>
            <w:tcW w:w="850" w:type="dxa"/>
            <w:shd w:val="clear" w:color="auto" w:fill="FFC000"/>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4E54A8">
            <w:pPr>
              <w:widowControl w:val="0"/>
              <w:jc w:val="center"/>
              <w:rPr>
                <w:rFonts w:ascii="Verdana" w:hAnsi="Verdana" w:cs="Tahoma"/>
                <w:sz w:val="16"/>
                <w:szCs w:val="16"/>
              </w:rPr>
            </w:pPr>
            <w:r>
              <w:rPr>
                <w:rFonts w:ascii="Verdana" w:hAnsi="Verdana"/>
                <w:sz w:val="16"/>
              </w:rPr>
              <w:t xml:space="preserve"> 3 </w:t>
            </w:r>
          </w:p>
        </w:tc>
        <w:tc>
          <w:tcPr>
            <w:tcW w:w="2410" w:type="dxa"/>
            <w:tcMar>
              <w:top w:w="85" w:type="dxa"/>
              <w:bottom w:w="85" w:type="dxa"/>
            </w:tcMar>
          </w:tcPr>
          <w:p w:rsidR="00F81C3B" w:rsidRPr="0055765D" w:rsidRDefault="00F81C3B" w:rsidP="005E640C">
            <w:pPr>
              <w:widowControl w:val="0"/>
              <w:rPr>
                <w:rFonts w:ascii="Verdana" w:hAnsi="Verdana" w:cs="Tahoma"/>
                <w:sz w:val="16"/>
                <w:szCs w:val="16"/>
              </w:rPr>
            </w:pPr>
          </w:p>
          <w:p w:rsidR="00B86C6B" w:rsidRPr="0055765D" w:rsidRDefault="00B86C6B" w:rsidP="005E640C">
            <w:pPr>
              <w:widowControl w:val="0"/>
              <w:rPr>
                <w:rFonts w:ascii="Verdana" w:hAnsi="Verdana" w:cs="Tahoma"/>
                <w:sz w:val="16"/>
                <w:szCs w:val="16"/>
              </w:rPr>
            </w:pPr>
            <w:r>
              <w:rPr>
                <w:rFonts w:ascii="Verdana" w:hAnsi="Verdana"/>
                <w:sz w:val="16"/>
              </w:rPr>
              <w:t>Odvajanje biodizela od suproizvoda – 1. faza</w:t>
            </w:r>
          </w:p>
        </w:tc>
        <w:tc>
          <w:tcPr>
            <w:tcW w:w="2268" w:type="dxa"/>
            <w:tcMar>
              <w:top w:w="85" w:type="dxa"/>
              <w:bottom w:w="85" w:type="dxa"/>
            </w:tcMar>
          </w:tcPr>
          <w:p w:rsidR="00B86C6B" w:rsidRPr="0055765D" w:rsidRDefault="00AB5105" w:rsidP="009A2121">
            <w:pPr>
              <w:widowControl w:val="0"/>
              <w:rPr>
                <w:rFonts w:ascii="Verdana" w:hAnsi="Verdana" w:cs="Tahoma"/>
                <w:sz w:val="16"/>
                <w:szCs w:val="16"/>
              </w:rPr>
            </w:pPr>
            <w:r>
              <w:rPr>
                <w:rFonts w:ascii="Verdana" w:hAnsi="Verdana"/>
                <w:sz w:val="16"/>
              </w:rPr>
              <w:t xml:space="preserve">U Uredbi </w:t>
            </w:r>
            <w:r w:rsidR="008448C2">
              <w:rPr>
                <w:rFonts w:ascii="Verdana" w:hAnsi="Verdana"/>
                <w:sz w:val="16"/>
              </w:rPr>
              <w:t>(</w:t>
            </w:r>
            <w:r>
              <w:rPr>
                <w:rFonts w:ascii="Verdana" w:hAnsi="Verdana"/>
                <w:sz w:val="16"/>
              </w:rPr>
              <w:t>EU</w:t>
            </w:r>
            <w:r w:rsidR="008448C2">
              <w:rPr>
                <w:rFonts w:ascii="Verdana" w:hAnsi="Verdana"/>
                <w:sz w:val="16"/>
              </w:rPr>
              <w:t>)</w:t>
            </w:r>
            <w:r>
              <w:rPr>
                <w:rFonts w:ascii="Verdana" w:hAnsi="Verdana"/>
                <w:sz w:val="16"/>
              </w:rPr>
              <w:t xml:space="preserve"> 68/2013 navodi se sljedeće: Može sadržavati do 4 % tvari koje nisu gliceroli (MONG) i koje se sastoje od metilnih estera masnih kiselina, etilnih estera masnih kiselina, slobodnih masnih kiselina i glicerida</w:t>
            </w:r>
          </w:p>
        </w:tc>
        <w:tc>
          <w:tcPr>
            <w:tcW w:w="2126" w:type="dxa"/>
            <w:tcMar>
              <w:top w:w="85" w:type="dxa"/>
              <w:bottom w:w="85" w:type="dxa"/>
            </w:tcMar>
          </w:tcPr>
          <w:p w:rsidR="00F81C3B" w:rsidRPr="0055765D" w:rsidRDefault="00F81C3B" w:rsidP="004E54A8">
            <w:pPr>
              <w:rPr>
                <w:rFonts w:ascii="Verdana" w:hAnsi="Verdana" w:cs="Tahoma"/>
                <w:sz w:val="16"/>
                <w:szCs w:val="16"/>
              </w:rPr>
            </w:pPr>
          </w:p>
          <w:p w:rsidR="00B86C6B" w:rsidRPr="0055765D" w:rsidRDefault="00B86C6B" w:rsidP="004E54A8">
            <w:pPr>
              <w:rPr>
                <w:rFonts w:ascii="Verdana" w:hAnsi="Verdana" w:cs="Tahoma"/>
                <w:sz w:val="16"/>
                <w:szCs w:val="16"/>
              </w:rPr>
            </w:pPr>
            <w:r>
              <w:rPr>
                <w:rFonts w:ascii="Verdana" w:hAnsi="Verdana"/>
                <w:sz w:val="16"/>
              </w:rPr>
              <w:t>Plan praćenja i nastavak procesa</w:t>
            </w:r>
          </w:p>
        </w:tc>
        <w:tc>
          <w:tcPr>
            <w:tcW w:w="1985" w:type="dxa"/>
            <w:tcMar>
              <w:top w:w="85" w:type="dxa"/>
              <w:bottom w:w="85" w:type="dxa"/>
            </w:tcMar>
          </w:tcPr>
          <w:p w:rsidR="00B86C6B" w:rsidRPr="0055765D" w:rsidRDefault="00B86C6B" w:rsidP="004E54A8">
            <w:pPr>
              <w:widowControl w:val="0"/>
              <w:rPr>
                <w:rFonts w:ascii="Verdana" w:hAnsi="Verdana" w:cs="Tahoma"/>
                <w:sz w:val="16"/>
                <w:szCs w:val="16"/>
              </w:rPr>
            </w:pPr>
          </w:p>
        </w:tc>
      </w:tr>
      <w:tr w:rsidR="009A2121" w:rsidRPr="00957197" w:rsidTr="000C7703">
        <w:trPr>
          <w:trHeight w:val="357"/>
        </w:trPr>
        <w:tc>
          <w:tcPr>
            <w:tcW w:w="1875" w:type="dxa"/>
            <w:tcBorders>
              <w:bottom w:val="single" w:sz="4" w:space="0" w:color="auto"/>
            </w:tcBorders>
            <w:tcMar>
              <w:top w:w="85" w:type="dxa"/>
              <w:bottom w:w="85" w:type="dxa"/>
            </w:tcMar>
          </w:tcPr>
          <w:p w:rsidR="009A2121" w:rsidRPr="00843954" w:rsidRDefault="009A2121" w:rsidP="004E54A8">
            <w:pPr>
              <w:widowControl w:val="0"/>
              <w:rPr>
                <w:rFonts w:ascii="Verdana" w:hAnsi="Verdana" w:cs="Tahoma"/>
                <w:b/>
                <w:bCs/>
                <w:sz w:val="16"/>
                <w:szCs w:val="16"/>
              </w:rPr>
            </w:pPr>
            <w:r>
              <w:rPr>
                <w:rFonts w:ascii="Verdana" w:hAnsi="Verdana"/>
                <w:b/>
                <w:sz w:val="16"/>
              </w:rPr>
              <w:t>Metanol u sirovom glicerinu</w:t>
            </w:r>
          </w:p>
        </w:tc>
        <w:tc>
          <w:tcPr>
            <w:tcW w:w="642"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K</w:t>
            </w:r>
          </w:p>
        </w:tc>
        <w:tc>
          <w:tcPr>
            <w:tcW w:w="993"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umjerena</w:t>
            </w:r>
          </w:p>
        </w:tc>
        <w:tc>
          <w:tcPr>
            <w:tcW w:w="1418"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velika</w:t>
            </w:r>
          </w:p>
        </w:tc>
        <w:tc>
          <w:tcPr>
            <w:tcW w:w="850" w:type="dxa"/>
            <w:tcBorders>
              <w:bottom w:val="single" w:sz="4" w:space="0" w:color="auto"/>
            </w:tcBorders>
            <w:shd w:val="clear" w:color="auto" w:fill="FF0000"/>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4</w:t>
            </w:r>
          </w:p>
        </w:tc>
        <w:tc>
          <w:tcPr>
            <w:tcW w:w="2410" w:type="dxa"/>
            <w:tcBorders>
              <w:bottom w:val="single" w:sz="4" w:space="0" w:color="auto"/>
            </w:tcBorders>
            <w:tcMar>
              <w:top w:w="85" w:type="dxa"/>
              <w:bottom w:w="85" w:type="dxa"/>
            </w:tcMar>
          </w:tcPr>
          <w:p w:rsidR="009A2121" w:rsidRPr="00843954" w:rsidRDefault="009A2121" w:rsidP="005E640C">
            <w:pPr>
              <w:widowControl w:val="0"/>
              <w:rPr>
                <w:rFonts w:ascii="Verdana" w:hAnsi="Verdana" w:cs="Tahoma"/>
                <w:sz w:val="16"/>
                <w:szCs w:val="16"/>
              </w:rPr>
            </w:pPr>
          </w:p>
        </w:tc>
        <w:tc>
          <w:tcPr>
            <w:tcW w:w="2268" w:type="dxa"/>
            <w:tcBorders>
              <w:bottom w:val="single" w:sz="4" w:space="0" w:color="auto"/>
            </w:tcBorders>
            <w:tcMar>
              <w:top w:w="85" w:type="dxa"/>
              <w:bottom w:w="85" w:type="dxa"/>
            </w:tcMar>
          </w:tcPr>
          <w:p w:rsidR="009A2121" w:rsidRPr="00843954" w:rsidRDefault="004C758F" w:rsidP="009A2121">
            <w:pPr>
              <w:widowControl w:val="0"/>
              <w:rPr>
                <w:rFonts w:ascii="Verdana" w:hAnsi="Verdana" w:cs="Tahoma"/>
                <w:sz w:val="16"/>
                <w:szCs w:val="16"/>
              </w:rPr>
            </w:pPr>
            <w:r>
              <w:rPr>
                <w:rFonts w:ascii="Verdana" w:hAnsi="Verdana"/>
                <w:sz w:val="16"/>
              </w:rPr>
              <w:t xml:space="preserve">U Uredbi </w:t>
            </w:r>
            <w:r w:rsidR="008448C2">
              <w:rPr>
                <w:rFonts w:ascii="Verdana" w:hAnsi="Verdana"/>
                <w:sz w:val="16"/>
              </w:rPr>
              <w:t>(</w:t>
            </w:r>
            <w:r>
              <w:rPr>
                <w:rFonts w:ascii="Verdana" w:hAnsi="Verdana"/>
                <w:sz w:val="16"/>
              </w:rPr>
              <w:t>EU</w:t>
            </w:r>
            <w:r w:rsidR="008448C2">
              <w:rPr>
                <w:rFonts w:ascii="Verdana" w:hAnsi="Verdana"/>
                <w:sz w:val="16"/>
              </w:rPr>
              <w:t>)</w:t>
            </w:r>
            <w:r>
              <w:rPr>
                <w:rFonts w:ascii="Verdana" w:hAnsi="Verdana"/>
                <w:sz w:val="16"/>
              </w:rPr>
              <w:t xml:space="preserve"> 68/2013 navodi se sljedeće: Može sadržavati do 0,5 %metanola</w:t>
            </w:r>
          </w:p>
        </w:tc>
        <w:tc>
          <w:tcPr>
            <w:tcW w:w="2126" w:type="dxa"/>
            <w:tcBorders>
              <w:bottom w:val="single" w:sz="4" w:space="0" w:color="auto"/>
            </w:tcBorders>
            <w:tcMar>
              <w:top w:w="85" w:type="dxa"/>
              <w:bottom w:w="85" w:type="dxa"/>
            </w:tcMar>
          </w:tcPr>
          <w:p w:rsidR="009A2121" w:rsidRPr="00843954" w:rsidRDefault="000C7703" w:rsidP="00974AB8">
            <w:pPr>
              <w:rPr>
                <w:rFonts w:ascii="Verdana" w:hAnsi="Verdana" w:cs="Tahoma"/>
                <w:sz w:val="16"/>
                <w:szCs w:val="16"/>
              </w:rPr>
            </w:pPr>
            <w:r>
              <w:rPr>
                <w:rFonts w:ascii="Verdana" w:hAnsi="Verdana"/>
                <w:sz w:val="16"/>
              </w:rPr>
              <w:t>Kontrola s pomoću parametara procesa</w:t>
            </w:r>
          </w:p>
        </w:tc>
        <w:tc>
          <w:tcPr>
            <w:tcW w:w="1985" w:type="dxa"/>
            <w:tcBorders>
              <w:bottom w:val="single" w:sz="4" w:space="0" w:color="auto"/>
            </w:tcBorders>
            <w:tcMar>
              <w:top w:w="85" w:type="dxa"/>
              <w:bottom w:w="85" w:type="dxa"/>
            </w:tcMar>
          </w:tcPr>
          <w:p w:rsidR="009A2121" w:rsidRPr="0055765D" w:rsidRDefault="009A2121" w:rsidP="004E54A8">
            <w:pPr>
              <w:widowControl w:val="0"/>
              <w:rPr>
                <w:rFonts w:ascii="Verdana" w:hAnsi="Verdana" w:cs="Tahoma"/>
                <w:sz w:val="16"/>
                <w:szCs w:val="16"/>
              </w:rPr>
            </w:pPr>
          </w:p>
        </w:tc>
      </w:tr>
    </w:tbl>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r>
        <w:br w:type="page"/>
      </w:r>
    </w:p>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972"/>
        <w:gridCol w:w="1418"/>
        <w:gridCol w:w="850"/>
        <w:gridCol w:w="2301"/>
        <w:gridCol w:w="1952"/>
        <w:gridCol w:w="1984"/>
        <w:gridCol w:w="2675"/>
        <w:gridCol w:w="19"/>
      </w:tblGrid>
      <w:tr w:rsidR="00C724B8" w:rsidRPr="00957197" w:rsidTr="003E010C">
        <w:trPr>
          <w:gridAfter w:val="1"/>
          <w:wAfter w:w="19" w:type="dxa"/>
          <w:trHeight w:val="700"/>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Pristup temeljen na riziku za glicerin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762" w:type="dxa"/>
            <w:gridSpan w:val="5"/>
            <w:tcBorders>
              <w:left w:val="nil"/>
              <w:bottom w:val="single" w:sz="4" w:space="0" w:color="auto"/>
            </w:tcBorders>
            <w:shd w:val="clear" w:color="auto" w:fill="0DA72A"/>
            <w:tcMar>
              <w:top w:w="57" w:type="dxa"/>
              <w:bottom w:w="57" w:type="dxa"/>
            </w:tcMar>
            <w:vAlign w:val="center"/>
          </w:tcPr>
          <w:p w:rsidR="00C724B8" w:rsidRPr="00957197" w:rsidRDefault="00B87D01" w:rsidP="00AE2E62">
            <w:pPr>
              <w:widowControl w:val="0"/>
              <w:rPr>
                <w:rFonts w:ascii="Verdana" w:hAnsi="Verdana" w:cs="Tahoma"/>
                <w:b/>
                <w:color w:val="FFFFFF"/>
                <w:sz w:val="28"/>
                <w:szCs w:val="28"/>
              </w:rPr>
            </w:pPr>
            <w:r>
              <w:rPr>
                <w:rFonts w:ascii="Verdana" w:hAnsi="Verdana"/>
                <w:b/>
                <w:color w:val="FFFFFF"/>
                <w:sz w:val="28"/>
              </w:rPr>
              <w:t>6. Faza 3. od 3 – Zakiseljavanje i odvajanje slobodnih masnih kiselina</w:t>
            </w:r>
          </w:p>
        </w:tc>
      </w:tr>
      <w:tr w:rsidR="00B86C6B" w:rsidRPr="00957197" w:rsidTr="00F029E4">
        <w:trPr>
          <w:trHeight w:val="813"/>
        </w:trPr>
        <w:tc>
          <w:tcPr>
            <w:tcW w:w="189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4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97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30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952" w:type="dxa"/>
            <w:tcBorders>
              <w:bottom w:val="single" w:sz="4" w:space="0" w:color="auto"/>
            </w:tcBorders>
            <w:shd w:val="clear" w:color="auto" w:fill="0DA72A"/>
            <w:tcMar>
              <w:top w:w="28" w:type="dxa"/>
              <w:bottom w:w="28" w:type="dxa"/>
            </w:tcMar>
            <w:vAlign w:val="center"/>
          </w:tcPr>
          <w:p w:rsidR="00B86C6B" w:rsidRPr="00957197" w:rsidRDefault="00B86C6B" w:rsidP="00957197">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w:t>
            </w:r>
          </w:p>
        </w:tc>
        <w:tc>
          <w:tcPr>
            <w:tcW w:w="198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694" w:type="dxa"/>
            <w:gridSpan w:val="2"/>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B86C6B" w:rsidRPr="00957197" w:rsidTr="00F029E4">
        <w:trPr>
          <w:trHeight w:val="1035"/>
        </w:trPr>
        <w:tc>
          <w:tcPr>
            <w:tcW w:w="1890" w:type="dxa"/>
            <w:tcBorders>
              <w:bottom w:val="single" w:sz="4" w:space="0" w:color="auto"/>
            </w:tcBorders>
            <w:tcMar>
              <w:top w:w="85" w:type="dxa"/>
              <w:bottom w:w="85" w:type="dxa"/>
            </w:tcMar>
          </w:tcPr>
          <w:p w:rsidR="00B86C6B" w:rsidRPr="00800E2C" w:rsidRDefault="004C758F" w:rsidP="004E54A8">
            <w:pPr>
              <w:widowControl w:val="0"/>
              <w:rPr>
                <w:rFonts w:ascii="Verdana" w:hAnsi="Verdana" w:cs="Tahoma"/>
                <w:b/>
                <w:bCs/>
                <w:sz w:val="16"/>
                <w:szCs w:val="16"/>
              </w:rPr>
            </w:pPr>
            <w:r>
              <w:rPr>
                <w:rFonts w:ascii="Verdana" w:hAnsi="Verdana"/>
                <w:b/>
                <w:sz w:val="16"/>
              </w:rPr>
              <w:t xml:space="preserve">Kontaminanti u pomoćnim tvarima u procesu proizvodnje  </w:t>
            </w:r>
          </w:p>
          <w:p w:rsidR="00B86C6B" w:rsidRPr="00800E2C" w:rsidRDefault="00B86C6B" w:rsidP="004E54A8">
            <w:pPr>
              <w:widowControl w:val="0"/>
              <w:rPr>
                <w:rFonts w:ascii="Verdana" w:hAnsi="Verdana" w:cs="Tahoma"/>
                <w:b/>
                <w:bCs/>
                <w:sz w:val="16"/>
                <w:szCs w:val="16"/>
              </w:rPr>
            </w:pPr>
            <w:r>
              <w:rPr>
                <w:rFonts w:ascii="Verdana" w:hAnsi="Verdana"/>
                <w:b/>
                <w:sz w:val="16"/>
              </w:rPr>
              <w:t>(lužnate otopine, kiseline)</w:t>
            </w:r>
          </w:p>
        </w:tc>
        <w:tc>
          <w:tcPr>
            <w:tcW w:w="648" w:type="dxa"/>
            <w:tcBorders>
              <w:bottom w:val="single" w:sz="4" w:space="0" w:color="auto"/>
            </w:tcBorders>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K</w:t>
            </w:r>
          </w:p>
        </w:tc>
        <w:tc>
          <w:tcPr>
            <w:tcW w:w="972"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 xml:space="preserve"> mala</w:t>
            </w:r>
          </w:p>
        </w:tc>
        <w:tc>
          <w:tcPr>
            <w:tcW w:w="1418"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 xml:space="preserve"> velika</w:t>
            </w:r>
          </w:p>
        </w:tc>
        <w:tc>
          <w:tcPr>
            <w:tcW w:w="850" w:type="dxa"/>
            <w:tcBorders>
              <w:bottom w:val="single" w:sz="4" w:space="0" w:color="auto"/>
            </w:tcBorders>
            <w:shd w:val="clear" w:color="auto" w:fill="FFC000"/>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3</w:t>
            </w:r>
          </w:p>
        </w:tc>
        <w:tc>
          <w:tcPr>
            <w:tcW w:w="2301"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Pomoćne tvari u procesu proizvodnje dolaze u dodir s proizvodom.</w:t>
            </w:r>
          </w:p>
          <w:p w:rsidR="00B86C6B" w:rsidRPr="00800E2C" w:rsidRDefault="00B86C6B" w:rsidP="004E54A8">
            <w:pPr>
              <w:widowControl w:val="0"/>
              <w:rPr>
                <w:rFonts w:ascii="Verdana" w:hAnsi="Verdana" w:cs="Tahoma"/>
                <w:sz w:val="16"/>
                <w:szCs w:val="16"/>
              </w:rPr>
            </w:pPr>
          </w:p>
          <w:p w:rsidR="00B86C6B" w:rsidRPr="00800E2C" w:rsidRDefault="00B86C6B" w:rsidP="004E54A8">
            <w:pPr>
              <w:widowControl w:val="0"/>
              <w:rPr>
                <w:rFonts w:ascii="Verdana" w:hAnsi="Verdana" w:cs="Tahoma"/>
                <w:sz w:val="16"/>
                <w:szCs w:val="16"/>
              </w:rPr>
            </w:pPr>
            <w:r>
              <w:rPr>
                <w:rFonts w:ascii="Verdana" w:hAnsi="Verdana"/>
                <w:sz w:val="16"/>
              </w:rPr>
              <w:t>Rizik od predoziranja</w:t>
            </w:r>
          </w:p>
          <w:p w:rsidR="00B86C6B" w:rsidRPr="00800E2C" w:rsidRDefault="00B86C6B" w:rsidP="004E54A8">
            <w:pPr>
              <w:widowControl w:val="0"/>
              <w:rPr>
                <w:rFonts w:ascii="Verdana" w:hAnsi="Verdana" w:cs="Tahoma"/>
                <w:sz w:val="16"/>
                <w:szCs w:val="16"/>
              </w:rPr>
            </w:pPr>
          </w:p>
        </w:tc>
        <w:tc>
          <w:tcPr>
            <w:tcW w:w="1952" w:type="dxa"/>
            <w:tcBorders>
              <w:bottom w:val="single" w:sz="4" w:space="0" w:color="auto"/>
            </w:tcBorders>
            <w:tcMar>
              <w:top w:w="85" w:type="dxa"/>
              <w:bottom w:w="85" w:type="dxa"/>
            </w:tcMar>
          </w:tcPr>
          <w:p w:rsidR="00B86C6B" w:rsidRPr="00800E2C" w:rsidRDefault="00B86C6B" w:rsidP="00621062">
            <w:pPr>
              <w:widowControl w:val="0"/>
              <w:rPr>
                <w:rFonts w:ascii="Verdana" w:hAnsi="Verdana" w:cs="Tahoma"/>
                <w:sz w:val="16"/>
                <w:szCs w:val="16"/>
              </w:rPr>
            </w:pPr>
            <w:r>
              <w:rPr>
                <w:rFonts w:ascii="Verdana" w:hAnsi="Verdana"/>
                <w:sz w:val="16"/>
              </w:rPr>
              <w:t xml:space="preserve">Uredbom </w:t>
            </w:r>
            <w:r w:rsidR="008448C2">
              <w:rPr>
                <w:rFonts w:ascii="Verdana" w:hAnsi="Verdana"/>
                <w:sz w:val="16"/>
              </w:rPr>
              <w:t xml:space="preserve">(EU) </w:t>
            </w:r>
            <w:r>
              <w:rPr>
                <w:rFonts w:ascii="Verdana" w:hAnsi="Verdana"/>
                <w:sz w:val="16"/>
              </w:rPr>
              <w:t xml:space="preserve">68/2013 utvrđuju se ograničenja za najviše dopuštene količine kemijskih nečistoća nastalih zbog proizvodnog procesa ili pomoćnih tvari u procesu proizvodnje </w:t>
            </w:r>
          </w:p>
          <w:p w:rsidR="00B86C6B" w:rsidRPr="00800E2C" w:rsidRDefault="00B86C6B" w:rsidP="00621062">
            <w:pPr>
              <w:widowControl w:val="0"/>
              <w:rPr>
                <w:rFonts w:ascii="Verdana" w:hAnsi="Verdana" w:cs="Tahoma"/>
                <w:sz w:val="16"/>
                <w:szCs w:val="16"/>
              </w:rPr>
            </w:pPr>
          </w:p>
          <w:p w:rsidR="00B86C6B" w:rsidRPr="00800E2C" w:rsidRDefault="00B86C6B" w:rsidP="00B11259">
            <w:pPr>
              <w:widowControl w:val="0"/>
              <w:rPr>
                <w:rFonts w:ascii="Verdana" w:hAnsi="Verdana" w:cs="Tahoma"/>
                <w:sz w:val="16"/>
                <w:szCs w:val="16"/>
              </w:rPr>
            </w:pPr>
          </w:p>
        </w:tc>
        <w:tc>
          <w:tcPr>
            <w:tcW w:w="1984"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Pomoćne tvari u procesu proizvodnje koje izravno dođu u dodir s uljem moraju se ocijeniti te se moraju poduzeti odgovarajuće mjere kako bi se rizik smanjio na prihvatljive razine.</w:t>
            </w:r>
          </w:p>
          <w:p w:rsidR="00B86C6B" w:rsidRPr="00800E2C" w:rsidRDefault="00303AC4" w:rsidP="004E54A8">
            <w:pPr>
              <w:widowControl w:val="0"/>
              <w:rPr>
                <w:rFonts w:ascii="Verdana" w:hAnsi="Verdana" w:cs="Tahoma"/>
                <w:sz w:val="16"/>
                <w:szCs w:val="16"/>
              </w:rPr>
            </w:pPr>
            <w:r>
              <w:rPr>
                <w:rFonts w:ascii="Verdana" w:hAnsi="Verdana"/>
                <w:sz w:val="16"/>
              </w:rPr>
              <w:t>Linijsko praćenje postupka (potrošnja)</w:t>
            </w:r>
          </w:p>
        </w:tc>
        <w:tc>
          <w:tcPr>
            <w:tcW w:w="2694" w:type="dxa"/>
            <w:gridSpan w:val="2"/>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p>
        </w:tc>
      </w:tr>
      <w:tr w:rsidR="00B86C6B" w:rsidRPr="00957197" w:rsidTr="00F029E4">
        <w:trPr>
          <w:trHeight w:val="1020"/>
        </w:trPr>
        <w:tc>
          <w:tcPr>
            <w:tcW w:w="1890" w:type="dxa"/>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b/>
                <w:sz w:val="16"/>
              </w:rPr>
              <w:t>Ostaci pesticida iznad maksimalnih razina ostataka (MRL), odnosno ostaci herbicida, insekticida, fungicida ili sredstava protiv glodavaca iznad maksimalnih razina ostataka.</w:t>
            </w:r>
          </w:p>
        </w:tc>
        <w:tc>
          <w:tcPr>
            <w:tcW w:w="648"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K</w:t>
            </w:r>
          </w:p>
        </w:tc>
        <w:tc>
          <w:tcPr>
            <w:tcW w:w="972" w:type="dxa"/>
            <w:tcMar>
              <w:top w:w="85" w:type="dxa"/>
              <w:bottom w:w="85" w:type="dxa"/>
            </w:tcMar>
          </w:tcPr>
          <w:p w:rsidR="00B86C6B" w:rsidRPr="00800E2C" w:rsidRDefault="00FF185B" w:rsidP="004E54A8">
            <w:pPr>
              <w:widowControl w:val="0"/>
              <w:jc w:val="center"/>
              <w:rPr>
                <w:rFonts w:ascii="Verdana" w:hAnsi="Verdana" w:cs="Tahoma"/>
                <w:sz w:val="16"/>
                <w:szCs w:val="16"/>
              </w:rPr>
            </w:pPr>
            <w:r>
              <w:rPr>
                <w:rFonts w:ascii="Verdana" w:hAnsi="Verdana"/>
                <w:sz w:val="16"/>
              </w:rPr>
              <w:t>mala</w:t>
            </w:r>
          </w:p>
        </w:tc>
        <w:tc>
          <w:tcPr>
            <w:tcW w:w="1418" w:type="dxa"/>
            <w:tcMar>
              <w:top w:w="85" w:type="dxa"/>
              <w:bottom w:w="85" w:type="dxa"/>
            </w:tcMar>
          </w:tcPr>
          <w:p w:rsidR="00B86C6B" w:rsidRPr="00800E2C" w:rsidRDefault="00FF185B" w:rsidP="008C7C3E">
            <w:pPr>
              <w:widowControl w:val="0"/>
              <w:jc w:val="center"/>
              <w:rPr>
                <w:rFonts w:ascii="Verdana" w:hAnsi="Verdana" w:cs="Tahoma"/>
                <w:sz w:val="16"/>
                <w:szCs w:val="16"/>
              </w:rPr>
            </w:pPr>
            <w:r>
              <w:rPr>
                <w:rFonts w:ascii="Verdana" w:hAnsi="Verdana"/>
                <w:sz w:val="16"/>
              </w:rPr>
              <w:t>mala</w:t>
            </w:r>
          </w:p>
        </w:tc>
        <w:tc>
          <w:tcPr>
            <w:tcW w:w="850"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1</w:t>
            </w:r>
          </w:p>
        </w:tc>
        <w:tc>
          <w:tcPr>
            <w:tcW w:w="2301" w:type="dxa"/>
            <w:tcMar>
              <w:top w:w="85" w:type="dxa"/>
              <w:bottom w:w="85" w:type="dxa"/>
            </w:tcMar>
          </w:tcPr>
          <w:p w:rsidR="00B86C6B" w:rsidRPr="00800E2C" w:rsidRDefault="00B86C6B" w:rsidP="008C7C3E">
            <w:pPr>
              <w:widowControl w:val="0"/>
              <w:rPr>
                <w:rFonts w:ascii="Verdana" w:hAnsi="Verdana" w:cs="Tahoma"/>
                <w:iCs/>
                <w:sz w:val="16"/>
                <w:szCs w:val="16"/>
              </w:rPr>
            </w:pPr>
            <w:r>
              <w:rPr>
                <w:rFonts w:ascii="Verdana" w:hAnsi="Verdana"/>
                <w:sz w:val="16"/>
              </w:rPr>
              <w:t>Redovito praćenje ostataka pesticida ukazuje na to da razine ostataka ostaju u okviru zakonski dopuštenih granica.  Pesticidi se ne koncentriraju u glicerinu</w:t>
            </w:r>
          </w:p>
        </w:tc>
        <w:tc>
          <w:tcPr>
            <w:tcW w:w="1952" w:type="dxa"/>
            <w:tcMar>
              <w:top w:w="85" w:type="dxa"/>
              <w:bottom w:w="85" w:type="dxa"/>
            </w:tcMar>
          </w:tcPr>
          <w:p w:rsidR="00B86C6B" w:rsidRPr="00800E2C" w:rsidRDefault="00B86C6B" w:rsidP="00C724B8">
            <w:pPr>
              <w:widowControl w:val="0"/>
              <w:rPr>
                <w:rFonts w:ascii="Verdana" w:hAnsi="Verdana" w:cs="Tahoma"/>
                <w:iCs/>
                <w:sz w:val="16"/>
                <w:szCs w:val="16"/>
              </w:rPr>
            </w:pPr>
            <w:r>
              <w:rPr>
                <w:rFonts w:ascii="Verdana" w:hAnsi="Verdana"/>
                <w:sz w:val="16"/>
              </w:rPr>
              <w:t xml:space="preserve">Uredbom </w:t>
            </w:r>
            <w:r w:rsidR="008448C2">
              <w:rPr>
                <w:rFonts w:ascii="Verdana" w:hAnsi="Verdana"/>
                <w:sz w:val="16"/>
              </w:rPr>
              <w:t xml:space="preserve">(EU) </w:t>
            </w:r>
            <w:r>
              <w:rPr>
                <w:rFonts w:ascii="Verdana" w:hAnsi="Verdana"/>
                <w:sz w:val="16"/>
              </w:rPr>
              <w:t xml:space="preserve">396/2005 utvrđuju se razine ostataka pesticida. </w:t>
            </w:r>
          </w:p>
        </w:tc>
        <w:tc>
          <w:tcPr>
            <w:tcW w:w="1984" w:type="dxa"/>
            <w:tcMar>
              <w:top w:w="85" w:type="dxa"/>
              <w:bottom w:w="85" w:type="dxa"/>
            </w:tcMar>
          </w:tcPr>
          <w:p w:rsidR="00B86C6B" w:rsidRPr="00800E2C" w:rsidRDefault="00B86C6B" w:rsidP="004E54A8">
            <w:pPr>
              <w:widowControl w:val="0"/>
              <w:rPr>
                <w:rFonts w:ascii="Verdana" w:hAnsi="Verdana" w:cs="Tahoma"/>
                <w:iCs/>
                <w:sz w:val="16"/>
                <w:szCs w:val="16"/>
              </w:rPr>
            </w:pPr>
          </w:p>
        </w:tc>
        <w:tc>
          <w:tcPr>
            <w:tcW w:w="2694" w:type="dxa"/>
            <w:gridSpan w:val="2"/>
            <w:tcMar>
              <w:top w:w="85" w:type="dxa"/>
              <w:bottom w:w="85" w:type="dxa"/>
            </w:tcMar>
          </w:tcPr>
          <w:p w:rsidR="00B86C6B" w:rsidRPr="00800E2C" w:rsidRDefault="00B86C6B" w:rsidP="004E54A8">
            <w:pPr>
              <w:widowControl w:val="0"/>
              <w:rPr>
                <w:rFonts w:ascii="Verdana" w:hAnsi="Verdana" w:cs="Tahoma"/>
                <w:sz w:val="16"/>
                <w:szCs w:val="16"/>
              </w:rPr>
            </w:pPr>
          </w:p>
        </w:tc>
      </w:tr>
      <w:tr w:rsidR="00FA07B5" w:rsidRPr="00957197" w:rsidTr="009F6611">
        <w:trPr>
          <w:trHeight w:val="805"/>
        </w:trPr>
        <w:tc>
          <w:tcPr>
            <w:tcW w:w="1890" w:type="dxa"/>
            <w:tcMar>
              <w:top w:w="85" w:type="dxa"/>
              <w:bottom w:w="85" w:type="dxa"/>
            </w:tcMar>
          </w:tcPr>
          <w:p w:rsidR="00FA07B5" w:rsidRPr="00BA26DA" w:rsidRDefault="004C162B" w:rsidP="004C162B">
            <w:pPr>
              <w:widowControl w:val="0"/>
              <w:rPr>
                <w:rFonts w:ascii="Verdana" w:hAnsi="Verdana" w:cs="Tahoma"/>
                <w:b/>
                <w:bCs/>
                <w:sz w:val="16"/>
                <w:szCs w:val="16"/>
              </w:rPr>
            </w:pPr>
            <w:r>
              <w:rPr>
                <w:rFonts w:ascii="Verdana" w:hAnsi="Verdana"/>
                <w:b/>
                <w:sz w:val="16"/>
              </w:rPr>
              <w:t xml:space="preserve">Kontaminacija zbog postupka oporabe soli (pri neutralizaciji glicerina) </w:t>
            </w:r>
          </w:p>
        </w:tc>
        <w:tc>
          <w:tcPr>
            <w:tcW w:w="648" w:type="dxa"/>
            <w:tcMar>
              <w:top w:w="85" w:type="dxa"/>
              <w:bottom w:w="85" w:type="dxa"/>
            </w:tcMar>
          </w:tcPr>
          <w:p w:rsidR="00FA07B5" w:rsidRPr="00CF1843" w:rsidRDefault="00FA07B5" w:rsidP="004E54A8">
            <w:pPr>
              <w:widowControl w:val="0"/>
              <w:jc w:val="center"/>
              <w:rPr>
                <w:rFonts w:ascii="Verdana" w:hAnsi="Verdana" w:cs="Tahoma"/>
                <w:sz w:val="16"/>
                <w:szCs w:val="16"/>
              </w:rPr>
            </w:pPr>
            <w:r>
              <w:rPr>
                <w:rFonts w:ascii="Verdana" w:hAnsi="Verdana"/>
                <w:sz w:val="16"/>
              </w:rPr>
              <w:t>K</w:t>
            </w:r>
          </w:p>
        </w:tc>
        <w:tc>
          <w:tcPr>
            <w:tcW w:w="972" w:type="dxa"/>
            <w:tcMar>
              <w:top w:w="85" w:type="dxa"/>
              <w:bottom w:w="85" w:type="dxa"/>
            </w:tcMar>
          </w:tcPr>
          <w:p w:rsidR="00FA07B5" w:rsidRPr="006F4A5D" w:rsidRDefault="00FA07B5" w:rsidP="004E54A8">
            <w:pPr>
              <w:widowControl w:val="0"/>
              <w:jc w:val="center"/>
              <w:rPr>
                <w:rFonts w:ascii="Verdana" w:hAnsi="Verdana" w:cs="Tahoma"/>
                <w:sz w:val="16"/>
                <w:szCs w:val="16"/>
              </w:rPr>
            </w:pPr>
            <w:r>
              <w:rPr>
                <w:rFonts w:ascii="Verdana" w:hAnsi="Verdana"/>
                <w:sz w:val="16"/>
              </w:rPr>
              <w:t>mala</w:t>
            </w:r>
          </w:p>
        </w:tc>
        <w:tc>
          <w:tcPr>
            <w:tcW w:w="1418" w:type="dxa"/>
            <w:tcMar>
              <w:top w:w="85" w:type="dxa"/>
              <w:bottom w:w="85" w:type="dxa"/>
            </w:tcMar>
          </w:tcPr>
          <w:p w:rsidR="00FA07B5" w:rsidRPr="006F4A5D" w:rsidRDefault="00FA07B5" w:rsidP="008C7C3E">
            <w:pPr>
              <w:widowControl w:val="0"/>
              <w:jc w:val="center"/>
              <w:rPr>
                <w:rFonts w:ascii="Verdana" w:hAnsi="Verdana" w:cs="Tahoma"/>
                <w:sz w:val="16"/>
                <w:szCs w:val="16"/>
              </w:rPr>
            </w:pPr>
            <w:r>
              <w:rPr>
                <w:rFonts w:ascii="Verdana" w:hAnsi="Verdana"/>
                <w:sz w:val="16"/>
              </w:rPr>
              <w:t>mala</w:t>
            </w:r>
          </w:p>
        </w:tc>
        <w:tc>
          <w:tcPr>
            <w:tcW w:w="850" w:type="dxa"/>
            <w:tcMar>
              <w:top w:w="85" w:type="dxa"/>
              <w:bottom w:w="85" w:type="dxa"/>
            </w:tcMar>
          </w:tcPr>
          <w:p w:rsidR="00FA07B5" w:rsidRPr="00633719" w:rsidRDefault="00633719" w:rsidP="004E54A8">
            <w:pPr>
              <w:widowControl w:val="0"/>
              <w:jc w:val="center"/>
              <w:rPr>
                <w:rFonts w:ascii="Verdana" w:hAnsi="Verdana" w:cs="Tahoma"/>
                <w:sz w:val="16"/>
                <w:szCs w:val="16"/>
              </w:rPr>
            </w:pPr>
            <w:r>
              <w:rPr>
                <w:rFonts w:ascii="Verdana" w:hAnsi="Verdana"/>
                <w:sz w:val="16"/>
              </w:rPr>
              <w:t>1</w:t>
            </w:r>
          </w:p>
        </w:tc>
        <w:tc>
          <w:tcPr>
            <w:tcW w:w="2301" w:type="dxa"/>
            <w:tcMar>
              <w:top w:w="85" w:type="dxa"/>
              <w:bottom w:w="85" w:type="dxa"/>
            </w:tcMar>
          </w:tcPr>
          <w:p w:rsidR="00FA07B5" w:rsidRPr="006F4A5D" w:rsidRDefault="004C162B" w:rsidP="00633719">
            <w:pPr>
              <w:widowControl w:val="0"/>
              <w:rPr>
                <w:rFonts w:ascii="Verdana" w:hAnsi="Verdana" w:cs="Tahoma"/>
                <w:sz w:val="16"/>
                <w:szCs w:val="16"/>
              </w:rPr>
            </w:pPr>
            <w:r>
              <w:rPr>
                <w:rFonts w:ascii="Verdana" w:hAnsi="Verdana"/>
                <w:sz w:val="16"/>
              </w:rPr>
              <w:t>NaCl (sol) gotovo se uvijek otapa u sirovom glicerinu a ne u krutom nusproizvodu</w:t>
            </w:r>
          </w:p>
        </w:tc>
        <w:tc>
          <w:tcPr>
            <w:tcW w:w="1952" w:type="dxa"/>
            <w:tcMar>
              <w:top w:w="85" w:type="dxa"/>
              <w:bottom w:w="85" w:type="dxa"/>
            </w:tcMar>
          </w:tcPr>
          <w:p w:rsidR="00FA07B5" w:rsidRPr="006F4A5D" w:rsidRDefault="00FA07B5" w:rsidP="00C724B8">
            <w:pPr>
              <w:widowControl w:val="0"/>
              <w:rPr>
                <w:rFonts w:ascii="Verdana" w:hAnsi="Verdana" w:cs="Tahoma"/>
                <w:sz w:val="16"/>
                <w:szCs w:val="16"/>
              </w:rPr>
            </w:pPr>
          </w:p>
        </w:tc>
        <w:tc>
          <w:tcPr>
            <w:tcW w:w="1984" w:type="dxa"/>
            <w:tcMar>
              <w:top w:w="85" w:type="dxa"/>
              <w:bottom w:w="85" w:type="dxa"/>
            </w:tcMar>
          </w:tcPr>
          <w:p w:rsidR="00FA07B5" w:rsidRPr="00BA26DA" w:rsidRDefault="00FA07B5" w:rsidP="004E54A8">
            <w:pPr>
              <w:widowControl w:val="0"/>
              <w:rPr>
                <w:rFonts w:ascii="Verdana" w:hAnsi="Verdana" w:cs="Tahoma"/>
                <w:iCs/>
                <w:sz w:val="16"/>
                <w:szCs w:val="16"/>
              </w:rPr>
            </w:pPr>
          </w:p>
        </w:tc>
        <w:tc>
          <w:tcPr>
            <w:tcW w:w="2694" w:type="dxa"/>
            <w:gridSpan w:val="2"/>
            <w:tcMar>
              <w:top w:w="85" w:type="dxa"/>
              <w:bottom w:w="85" w:type="dxa"/>
            </w:tcMar>
          </w:tcPr>
          <w:p w:rsidR="00FA07B5" w:rsidRPr="006F4A5D" w:rsidRDefault="004C162B" w:rsidP="004E54A8">
            <w:pPr>
              <w:widowControl w:val="0"/>
              <w:rPr>
                <w:rFonts w:ascii="Verdana" w:hAnsi="Verdana" w:cs="Tahoma"/>
                <w:sz w:val="16"/>
                <w:szCs w:val="16"/>
              </w:rPr>
            </w:pPr>
            <w:r>
              <w:rPr>
                <w:rFonts w:ascii="Verdana" w:hAnsi="Verdana"/>
                <w:sz w:val="16"/>
              </w:rPr>
              <w:t>Mogućnost oporabe soli za upotrebu kao gnojivo</w:t>
            </w:r>
          </w:p>
        </w:tc>
      </w:tr>
      <w:tr w:rsidR="008551A2" w:rsidRPr="00957197" w:rsidTr="00F029E4">
        <w:trPr>
          <w:trHeight w:val="1747"/>
        </w:trPr>
        <w:tc>
          <w:tcPr>
            <w:tcW w:w="1890" w:type="dxa"/>
            <w:tcMar>
              <w:top w:w="85" w:type="dxa"/>
              <w:bottom w:w="85" w:type="dxa"/>
            </w:tcMar>
          </w:tcPr>
          <w:p w:rsidR="00A25223" w:rsidRDefault="00A25223" w:rsidP="00A25223">
            <w:pPr>
              <w:widowControl w:val="0"/>
              <w:rPr>
                <w:rFonts w:ascii="Verdana" w:hAnsi="Verdana" w:cs="Tahoma"/>
                <w:b/>
                <w:bCs/>
                <w:sz w:val="16"/>
                <w:szCs w:val="16"/>
              </w:rPr>
            </w:pPr>
            <w:r>
              <w:rPr>
                <w:rFonts w:ascii="Verdana" w:hAnsi="Verdana"/>
                <w:b/>
                <w:sz w:val="16"/>
              </w:rPr>
              <w:lastRenderedPageBreak/>
              <w:t>Isporuka masnih tvari – ispravno označivanje</w:t>
            </w:r>
          </w:p>
          <w:p w:rsidR="00A25223" w:rsidRPr="008551A2" w:rsidRDefault="00A25223" w:rsidP="004E54A8">
            <w:pPr>
              <w:widowControl w:val="0"/>
              <w:rPr>
                <w:rFonts w:ascii="Verdana" w:hAnsi="Verdana" w:cs="Tahoma"/>
                <w:b/>
                <w:bCs/>
                <w:sz w:val="16"/>
                <w:szCs w:val="16"/>
              </w:rPr>
            </w:pPr>
          </w:p>
        </w:tc>
        <w:tc>
          <w:tcPr>
            <w:tcW w:w="648" w:type="dxa"/>
            <w:tcMar>
              <w:top w:w="85" w:type="dxa"/>
              <w:bottom w:w="85" w:type="dxa"/>
            </w:tcMar>
          </w:tcPr>
          <w:p w:rsidR="008551A2" w:rsidRPr="008551A2" w:rsidRDefault="008551A2" w:rsidP="004E54A8">
            <w:pPr>
              <w:widowControl w:val="0"/>
              <w:jc w:val="center"/>
              <w:rPr>
                <w:rFonts w:ascii="Verdana" w:hAnsi="Verdana" w:cs="Tahoma"/>
                <w:sz w:val="16"/>
                <w:szCs w:val="16"/>
              </w:rPr>
            </w:pPr>
          </w:p>
        </w:tc>
        <w:tc>
          <w:tcPr>
            <w:tcW w:w="972" w:type="dxa"/>
            <w:tcMar>
              <w:top w:w="85" w:type="dxa"/>
              <w:bottom w:w="85" w:type="dxa"/>
            </w:tcMar>
          </w:tcPr>
          <w:p w:rsidR="00A25223" w:rsidRPr="00565264" w:rsidRDefault="00A25223" w:rsidP="004E54A8">
            <w:pPr>
              <w:widowControl w:val="0"/>
              <w:jc w:val="center"/>
              <w:rPr>
                <w:rFonts w:ascii="Verdana" w:hAnsi="Verdana" w:cs="Tahoma"/>
                <w:sz w:val="16"/>
                <w:szCs w:val="16"/>
              </w:rPr>
            </w:pPr>
            <w:r>
              <w:rPr>
                <w:rFonts w:ascii="Verdana" w:hAnsi="Verdana"/>
                <w:sz w:val="16"/>
              </w:rPr>
              <w:t>umjerena</w:t>
            </w:r>
          </w:p>
        </w:tc>
        <w:tc>
          <w:tcPr>
            <w:tcW w:w="1418" w:type="dxa"/>
            <w:tcMar>
              <w:top w:w="85" w:type="dxa"/>
              <w:bottom w:w="85" w:type="dxa"/>
            </w:tcMar>
          </w:tcPr>
          <w:p w:rsidR="00A25223" w:rsidRPr="00565264" w:rsidRDefault="00A25223" w:rsidP="008C7C3E">
            <w:pPr>
              <w:widowControl w:val="0"/>
              <w:jc w:val="center"/>
              <w:rPr>
                <w:rFonts w:ascii="Verdana" w:hAnsi="Verdana" w:cs="Tahoma"/>
                <w:sz w:val="16"/>
                <w:szCs w:val="16"/>
              </w:rPr>
            </w:pPr>
            <w:r>
              <w:rPr>
                <w:rFonts w:ascii="Verdana" w:hAnsi="Verdana"/>
                <w:sz w:val="16"/>
              </w:rPr>
              <w:t>velika</w:t>
            </w:r>
          </w:p>
        </w:tc>
        <w:tc>
          <w:tcPr>
            <w:tcW w:w="850" w:type="dxa"/>
            <w:shd w:val="clear" w:color="auto" w:fill="FF0000"/>
            <w:tcMar>
              <w:top w:w="85" w:type="dxa"/>
              <w:bottom w:w="85" w:type="dxa"/>
            </w:tcMar>
          </w:tcPr>
          <w:p w:rsidR="008551A2" w:rsidRPr="00565264" w:rsidRDefault="00565264" w:rsidP="004E54A8">
            <w:pPr>
              <w:widowControl w:val="0"/>
              <w:jc w:val="center"/>
              <w:rPr>
                <w:rFonts w:ascii="Verdana" w:hAnsi="Verdana" w:cs="Tahoma"/>
                <w:sz w:val="16"/>
                <w:szCs w:val="16"/>
              </w:rPr>
            </w:pPr>
            <w:r>
              <w:rPr>
                <w:rFonts w:ascii="Verdana" w:hAnsi="Verdana"/>
                <w:sz w:val="16"/>
              </w:rPr>
              <w:t>4</w:t>
            </w:r>
          </w:p>
        </w:tc>
        <w:tc>
          <w:tcPr>
            <w:tcW w:w="2301" w:type="dxa"/>
            <w:tcMar>
              <w:top w:w="85" w:type="dxa"/>
              <w:bottom w:w="85" w:type="dxa"/>
            </w:tcMar>
          </w:tcPr>
          <w:p w:rsidR="008551A2" w:rsidRPr="00565264" w:rsidRDefault="008551A2" w:rsidP="008C7C3E">
            <w:pPr>
              <w:widowControl w:val="0"/>
              <w:rPr>
                <w:rFonts w:ascii="Verdana" w:hAnsi="Verdana" w:cs="Tahoma"/>
                <w:sz w:val="16"/>
                <w:szCs w:val="16"/>
              </w:rPr>
            </w:pPr>
          </w:p>
        </w:tc>
        <w:tc>
          <w:tcPr>
            <w:tcW w:w="1952" w:type="dxa"/>
            <w:tcMar>
              <w:top w:w="85" w:type="dxa"/>
              <w:bottom w:w="85" w:type="dxa"/>
            </w:tcMar>
          </w:tcPr>
          <w:p w:rsidR="008551A2" w:rsidRPr="008551A2" w:rsidRDefault="008551A2" w:rsidP="00C724B8">
            <w:pPr>
              <w:widowControl w:val="0"/>
              <w:rPr>
                <w:rFonts w:ascii="Verdana" w:hAnsi="Verdana" w:cs="Tahoma"/>
                <w:sz w:val="16"/>
                <w:szCs w:val="16"/>
              </w:rPr>
            </w:pPr>
          </w:p>
        </w:tc>
        <w:tc>
          <w:tcPr>
            <w:tcW w:w="1984" w:type="dxa"/>
            <w:tcMar>
              <w:top w:w="85" w:type="dxa"/>
              <w:bottom w:w="85" w:type="dxa"/>
            </w:tcMar>
          </w:tcPr>
          <w:p w:rsidR="00A25223" w:rsidRPr="008551A2" w:rsidRDefault="00A25223" w:rsidP="009F6611">
            <w:pPr>
              <w:widowControl w:val="0"/>
              <w:rPr>
                <w:rFonts w:ascii="Verdana" w:hAnsi="Verdana" w:cs="Tahoma"/>
                <w:iCs/>
                <w:sz w:val="16"/>
                <w:szCs w:val="16"/>
              </w:rPr>
            </w:pPr>
            <w:r>
              <w:rPr>
                <w:rFonts w:ascii="Verdana" w:hAnsi="Verdana"/>
                <w:sz w:val="16"/>
              </w:rPr>
              <w:t>Ako se masna tvar isporučuje kao nusproizvod, označiti masnu tvar kao „nije hrana za životinje / nije hrana” kako bi se osiguralo da se neće upotrebljavati u sektoru hrane za životinje</w:t>
            </w:r>
          </w:p>
        </w:tc>
        <w:tc>
          <w:tcPr>
            <w:tcW w:w="2694" w:type="dxa"/>
            <w:gridSpan w:val="2"/>
            <w:tcMar>
              <w:top w:w="85" w:type="dxa"/>
              <w:bottom w:w="85" w:type="dxa"/>
            </w:tcMar>
          </w:tcPr>
          <w:p w:rsidR="00A25223" w:rsidRPr="00151ACA" w:rsidRDefault="00A25223" w:rsidP="00A25223">
            <w:pPr>
              <w:rPr>
                <w:rFonts w:ascii="Verdana" w:hAnsi="Verdana"/>
                <w:sz w:val="16"/>
                <w:szCs w:val="16"/>
              </w:rPr>
            </w:pPr>
            <w:r>
              <w:rPr>
                <w:rFonts w:ascii="Verdana" w:hAnsi="Verdana"/>
                <w:sz w:val="16"/>
              </w:rPr>
              <w:t>Masne kiseline s metilnim esterima (koje se nazivaju i masnim tvarima) prikupljene nakon oporabe metanola pri proizvodnji biodizela nisu dopuštene za hranu za životinje jer se u masnim kiselinama koncentriraju lipofilni aditivi koji se upotrebljavaju u proizvodnji biodizela.</w:t>
            </w:r>
          </w:p>
          <w:p w:rsidR="008551A2" w:rsidRPr="00800E2C" w:rsidRDefault="008551A2" w:rsidP="00A25223">
            <w:pPr>
              <w:rPr>
                <w:rFonts w:ascii="Verdana" w:hAnsi="Verdana" w:cs="Tahoma"/>
                <w:sz w:val="16"/>
                <w:szCs w:val="16"/>
              </w:rPr>
            </w:pPr>
          </w:p>
        </w:tc>
      </w:tr>
    </w:tbl>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639"/>
        <w:gridCol w:w="865"/>
        <w:gridCol w:w="1417"/>
        <w:gridCol w:w="851"/>
        <w:gridCol w:w="2835"/>
        <w:gridCol w:w="1701"/>
        <w:gridCol w:w="2409"/>
        <w:gridCol w:w="2127"/>
      </w:tblGrid>
      <w:tr w:rsidR="00C724B8" w:rsidRPr="00957197" w:rsidTr="00FF185B">
        <w:trPr>
          <w:trHeight w:val="425"/>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4E54A8" w:rsidP="00C724B8">
            <w:pPr>
              <w:widowControl w:val="0"/>
              <w:spacing w:before="20" w:after="20"/>
              <w:ind w:left="85" w:right="85"/>
              <w:rPr>
                <w:rFonts w:ascii="Verdana" w:hAnsi="Verdana"/>
                <w:b/>
                <w:color w:val="FFFFFF"/>
                <w:sz w:val="32"/>
                <w:szCs w:val="32"/>
              </w:rPr>
            </w:pPr>
            <w:r>
              <w:br w:type="page"/>
            </w:r>
            <w:r>
              <w:rPr>
                <w:rFonts w:ascii="Verdana" w:hAnsi="Verdana"/>
                <w:b/>
                <w:color w:val="FFFFFF"/>
                <w:sz w:val="32"/>
              </w:rPr>
              <w:t>8. Pristup temeljen na riziku za glicerin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tcPr>
          <w:p w:rsidR="00C724B8" w:rsidRPr="00957197" w:rsidRDefault="00B87D01" w:rsidP="004E54A8">
            <w:pPr>
              <w:widowControl w:val="0"/>
              <w:spacing w:before="20" w:after="20"/>
              <w:ind w:left="85" w:right="85"/>
              <w:rPr>
                <w:rFonts w:ascii="Verdana" w:hAnsi="Verdana" w:cs="Tahoma"/>
                <w:b/>
                <w:color w:val="FFFFFF"/>
                <w:sz w:val="28"/>
                <w:szCs w:val="28"/>
              </w:rPr>
            </w:pPr>
            <w:r>
              <w:rPr>
                <w:rFonts w:ascii="Verdana" w:hAnsi="Verdana"/>
                <w:b/>
                <w:color w:val="FFFFFF"/>
                <w:sz w:val="28"/>
              </w:rPr>
              <w:t>7. Skladištenje</w:t>
            </w:r>
          </w:p>
        </w:tc>
      </w:tr>
      <w:tr w:rsidR="00B86C6B" w:rsidRPr="00957197" w:rsidTr="003E010C">
        <w:trPr>
          <w:trHeight w:val="531"/>
        </w:trPr>
        <w:tc>
          <w:tcPr>
            <w:tcW w:w="186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3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86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7"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83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70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I/ILI UVJETI UGOVORA </w:t>
            </w:r>
          </w:p>
        </w:tc>
        <w:tc>
          <w:tcPr>
            <w:tcW w:w="240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127"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B86C6B" w:rsidRPr="00957197" w:rsidTr="003E010C">
        <w:trPr>
          <w:trHeight w:val="1015"/>
        </w:trPr>
        <w:tc>
          <w:tcPr>
            <w:tcW w:w="1865"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b/>
                <w:bCs/>
                <w:sz w:val="16"/>
                <w:szCs w:val="16"/>
              </w:rPr>
            </w:pPr>
            <w:r>
              <w:rPr>
                <w:rFonts w:ascii="Verdana" w:hAnsi="Verdana"/>
                <w:b/>
                <w:sz w:val="16"/>
              </w:rPr>
              <w:t xml:space="preserve">Kontaminacija zbog neodvajanja </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865"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7"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1" w:type="dxa"/>
            <w:tcBorders>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52268B" w:rsidRDefault="00CE6A2B" w:rsidP="004E54A8">
            <w:pPr>
              <w:widowControl w:val="0"/>
              <w:rPr>
                <w:rFonts w:ascii="Verdana" w:hAnsi="Verdana" w:cs="Tahoma"/>
                <w:sz w:val="16"/>
                <w:szCs w:val="16"/>
              </w:rPr>
            </w:pPr>
            <w:r>
              <w:rPr>
                <w:rFonts w:ascii="Verdana" w:hAnsi="Verdana"/>
                <w:sz w:val="16"/>
              </w:rPr>
              <w:t xml:space="preserve">Provode se postupci skladištenja u cilju smanjenja rizika od unakrsne kontaminacije. </w:t>
            </w:r>
          </w:p>
          <w:p w:rsidR="0052268B" w:rsidRPr="0055765D" w:rsidRDefault="0052268B" w:rsidP="00FF185B">
            <w:pPr>
              <w:widowControl w:val="0"/>
              <w:rPr>
                <w:rFonts w:ascii="Verdana" w:hAnsi="Verdana" w:cs="Tahoma"/>
                <w:sz w:val="16"/>
                <w:szCs w:val="16"/>
              </w:rPr>
            </w:pPr>
            <w:r>
              <w:rPr>
                <w:rFonts w:ascii="Verdana" w:hAnsi="Verdana"/>
                <w:sz w:val="16"/>
              </w:rPr>
              <w:t>Namjenski spremnici</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3E010C">
        <w:trPr>
          <w:trHeight w:val="1670"/>
        </w:trPr>
        <w:tc>
          <w:tcPr>
            <w:tcW w:w="186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Kontaminacija sredstvima za čišćenje</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865"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7"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 xml:space="preserve"> umjerena</w:t>
            </w:r>
          </w:p>
        </w:tc>
        <w:tc>
          <w:tcPr>
            <w:tcW w:w="851"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 xml:space="preserve"> 2</w:t>
            </w:r>
          </w:p>
        </w:tc>
        <w:tc>
          <w:tcPr>
            <w:tcW w:w="283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Ova se klasifikacija rizika primjenjuje na terminale u kojima se skladište kemijska sredstva i biljna ulja. Njih se može izuzeti od upotrebe sredstava za čišćenje koja su prikladna za upotrebu u prehrambenoj industriji. Za terminale u EU-u u kojima se primjenjuje HACCP i u kojima se biljna ulja i kemikalije skladište odvojeno mogućnost je upotrebe pogrešnih sredstava za čišćenje vrlo mala.</w:t>
            </w:r>
          </w:p>
        </w:tc>
        <w:tc>
          <w:tcPr>
            <w:tcW w:w="170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B86C6B" w:rsidRPr="0055765D" w:rsidRDefault="001E05FE" w:rsidP="004E54A8">
            <w:pPr>
              <w:widowControl w:val="0"/>
              <w:rPr>
                <w:rFonts w:ascii="Verdana" w:hAnsi="Verdana" w:cs="Tahoma"/>
                <w:sz w:val="16"/>
                <w:szCs w:val="16"/>
              </w:rPr>
            </w:pPr>
            <w:r>
              <w:rPr>
                <w:rFonts w:ascii="Verdana" w:hAnsi="Verdana"/>
                <w:sz w:val="16"/>
              </w:rPr>
              <w:t xml:space="preserve">Sredstva za čišćenje moraju se ocijeniti te se trebaju poduzeti odgovarajuće mjere kako bi se rizici smanjili na prihvatljive razine </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3E010C">
        <w:trPr>
          <w:trHeight w:val="1305"/>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lastRenderedPageBreak/>
              <w:t>Tekućine toplinskog grijanja iz neispravne opreme</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865"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7"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1"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Još se uvijek mogu upotrebljavati toksične tekućine toplinskog grijanja. No zbog relativno je niskih temperatura grijanja koje se primjenjuju tijekom skladištenja mogućnost istjecanja tekućina toplinskog grijanja u proizvod mala.</w:t>
            </w: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Ako su se za toplinsko grijanje upotrebljavale tekućine, poduzeće koje se bavi skladištenjem mora, prema potrebi, shodno tome dostaviti dokumentaciju o neto gubicima i analizama. </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Preporučuje se grijanje vodom i parom. Tekućine od toplinskog zagrijavanja obično se ne upotrebljavaju</w:t>
            </w:r>
          </w:p>
        </w:tc>
      </w:tr>
      <w:tr w:rsidR="00B86C6B" w:rsidRPr="00957197" w:rsidTr="003E010C">
        <w:trPr>
          <w:trHeight w:val="823"/>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Unakrsna kontaminacija</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865"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umjerena</w:t>
            </w:r>
          </w:p>
        </w:tc>
        <w:tc>
          <w:tcPr>
            <w:tcW w:w="1417"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umjerena</w:t>
            </w:r>
          </w:p>
        </w:tc>
        <w:tc>
          <w:tcPr>
            <w:tcW w:w="851"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Namjenski tokovi i spremnici. Provodi se postupak o skladištenju</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bl>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86"/>
        <w:gridCol w:w="992"/>
        <w:gridCol w:w="1418"/>
        <w:gridCol w:w="850"/>
        <w:gridCol w:w="2268"/>
        <w:gridCol w:w="1843"/>
        <w:gridCol w:w="2551"/>
        <w:gridCol w:w="2127"/>
      </w:tblGrid>
      <w:tr w:rsidR="00C724B8" w:rsidRPr="00957197" w:rsidTr="00396EC6">
        <w:trPr>
          <w:trHeight w:val="925"/>
        </w:trPr>
        <w:tc>
          <w:tcPr>
            <w:tcW w:w="5070" w:type="dxa"/>
            <w:gridSpan w:val="4"/>
            <w:tcBorders>
              <w:bottom w:val="single" w:sz="4" w:space="0" w:color="auto"/>
            </w:tcBorders>
            <w:shd w:val="clear" w:color="auto" w:fill="0DA72A"/>
            <w:tcMar>
              <w:top w:w="57" w:type="dxa"/>
              <w:bottom w:w="57" w:type="dxa"/>
            </w:tcMar>
            <w:vAlign w:val="center"/>
          </w:tcPr>
          <w:p w:rsidR="00C724B8" w:rsidRPr="00957197" w:rsidRDefault="00E80F73" w:rsidP="00396EC6">
            <w:pPr>
              <w:widowControl w:val="0"/>
              <w:spacing w:before="20" w:after="20"/>
              <w:ind w:left="85" w:right="85"/>
              <w:rPr>
                <w:rFonts w:ascii="Verdana" w:hAnsi="Verdana" w:cs="Tahoma"/>
                <w:b/>
                <w:bCs/>
                <w:color w:val="FFFFFF"/>
                <w:sz w:val="28"/>
                <w:szCs w:val="28"/>
              </w:rPr>
            </w:pPr>
            <w:r>
              <w:rPr>
                <w:rFonts w:ascii="Verdana" w:hAnsi="Verdana"/>
                <w:b/>
                <w:color w:val="FFFFFF"/>
                <w:sz w:val="32"/>
              </w:rPr>
              <w:t>8. Pristup temeljen na riziku za glicerin</w:t>
            </w:r>
          </w:p>
        </w:tc>
        <w:tc>
          <w:tcPr>
            <w:tcW w:w="9639" w:type="dxa"/>
            <w:gridSpan w:val="5"/>
            <w:tcBorders>
              <w:left w:val="nil"/>
              <w:bottom w:val="single" w:sz="4" w:space="0" w:color="auto"/>
            </w:tcBorders>
            <w:shd w:val="clear" w:color="auto" w:fill="0DA72A"/>
            <w:tcMar>
              <w:top w:w="57" w:type="dxa"/>
              <w:bottom w:w="57" w:type="dxa"/>
            </w:tcMar>
          </w:tcPr>
          <w:p w:rsidR="00C724B8" w:rsidRPr="00957197" w:rsidRDefault="001E05FE" w:rsidP="00FB4DDD">
            <w:pPr>
              <w:widowControl w:val="0"/>
              <w:spacing w:before="20" w:after="20"/>
              <w:ind w:left="85" w:right="85"/>
              <w:rPr>
                <w:rFonts w:ascii="Verdana" w:hAnsi="Verdana" w:cs="Tahoma"/>
                <w:b/>
                <w:color w:val="FFFFFF"/>
                <w:sz w:val="28"/>
                <w:szCs w:val="28"/>
              </w:rPr>
            </w:pPr>
            <w:r>
              <w:rPr>
                <w:rFonts w:ascii="Verdana" w:hAnsi="Verdana"/>
                <w:b/>
                <w:color w:val="FFFFFF"/>
                <w:sz w:val="28"/>
              </w:rPr>
              <w:t xml:space="preserve">8. Prijevoz glicerina </w:t>
            </w:r>
          </w:p>
        </w:tc>
      </w:tr>
      <w:tr w:rsidR="00B86C6B" w:rsidRPr="00687C0E" w:rsidTr="00FF185B">
        <w:trPr>
          <w:trHeight w:val="315"/>
        </w:trPr>
        <w:tc>
          <w:tcPr>
            <w:tcW w:w="1974"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OPASNOST </w:t>
            </w:r>
          </w:p>
        </w:tc>
        <w:tc>
          <w:tcPr>
            <w:tcW w:w="686"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992"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MOGUĆ. </w:t>
            </w:r>
          </w:p>
        </w:tc>
        <w:tc>
          <w:tcPr>
            <w:tcW w:w="1418"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OZBILJNOST </w:t>
            </w:r>
          </w:p>
        </w:tc>
        <w:tc>
          <w:tcPr>
            <w:tcW w:w="850"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KLAS. RIZ. </w:t>
            </w:r>
          </w:p>
        </w:tc>
        <w:tc>
          <w:tcPr>
            <w:tcW w:w="2268"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OBRAZLOŽENJE</w:t>
            </w:r>
          </w:p>
        </w:tc>
        <w:tc>
          <w:tcPr>
            <w:tcW w:w="1843"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ZAKONODAVSTVO, INDUSTRIJSKE NORME I/ILI UVJETI UGOVORA </w:t>
            </w:r>
          </w:p>
        </w:tc>
        <w:tc>
          <w:tcPr>
            <w:tcW w:w="2551"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KONTROLNA MJERA  </w:t>
            </w:r>
          </w:p>
        </w:tc>
        <w:tc>
          <w:tcPr>
            <w:tcW w:w="2127"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NAPOMENE </w:t>
            </w:r>
          </w:p>
        </w:tc>
      </w:tr>
      <w:tr w:rsidR="00B86C6B" w:rsidRPr="00687C0E" w:rsidTr="00FF185B">
        <w:trPr>
          <w:trHeight w:val="224"/>
        </w:trPr>
        <w:tc>
          <w:tcPr>
            <w:tcW w:w="1974"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b/>
                <w:sz w:val="16"/>
              </w:rPr>
              <w:t>Kontaminacija prethodnim teretom</w:t>
            </w:r>
          </w:p>
        </w:tc>
        <w:tc>
          <w:tcPr>
            <w:tcW w:w="686"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F/K/B</w:t>
            </w:r>
          </w:p>
        </w:tc>
        <w:tc>
          <w:tcPr>
            <w:tcW w:w="992"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mala</w:t>
            </w:r>
          </w:p>
        </w:tc>
        <w:tc>
          <w:tcPr>
            <w:tcW w:w="1418"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umjerena</w:t>
            </w:r>
          </w:p>
        </w:tc>
        <w:tc>
          <w:tcPr>
            <w:tcW w:w="850"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2</w:t>
            </w:r>
          </w:p>
        </w:tc>
        <w:tc>
          <w:tcPr>
            <w:tcW w:w="2268"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Kontrola triju prethodnih tereta</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trHeight w:val="1011"/>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sz w:val="16"/>
                <w:szCs w:val="16"/>
              </w:rPr>
            </w:pPr>
            <w:r>
              <w:rPr>
                <w:rFonts w:ascii="Verdana" w:hAnsi="Verdana"/>
                <w:b/>
                <w:sz w:val="16"/>
              </w:rPr>
              <w:t>– Autocisterne, vagon cisterne i teglenice</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CE02F7">
            <w:pPr>
              <w:widowControl w:val="0"/>
              <w:rPr>
                <w:rFonts w:ascii="Verdana" w:hAnsi="Verdana" w:cs="Tahoma"/>
                <w:sz w:val="16"/>
                <w:szCs w:val="16"/>
              </w:rPr>
            </w:pPr>
            <w:r>
              <w:rPr>
                <w:rFonts w:ascii="Verdana" w:hAnsi="Verdana"/>
                <w:sz w:val="16"/>
              </w:rPr>
              <w:t>Prijevoz glicerina temelji se na zahtjevima kupaca</w:t>
            </w: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Uredbom (EZ) 183/2005 utvrđuju se pravila u pogledu prijevoza krmiva</w:t>
            </w:r>
          </w:p>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Provjeriti prethodne terete putem</w:t>
            </w:r>
            <w:r>
              <w:t xml:space="preserve"> </w:t>
            </w:r>
            <w:hyperlink r:id="rId23">
              <w:r>
                <w:rPr>
                  <w:rStyle w:val="Hyperlink"/>
                  <w:rFonts w:ascii="Verdana" w:hAnsi="Verdana"/>
                  <w:sz w:val="16"/>
                </w:rPr>
                <w:t>baze podataka IDTF-a</w:t>
              </w:r>
            </w:hyperlink>
          </w:p>
          <w:p w:rsidR="00B86C6B" w:rsidRPr="0055765D" w:rsidRDefault="00B86C6B" w:rsidP="004E54A8">
            <w:pPr>
              <w:widowControl w:val="0"/>
              <w:rPr>
                <w:rFonts w:ascii="Verdana" w:hAnsi="Verdana" w:cs="Tahoma"/>
                <w:sz w:val="16"/>
                <w:szCs w:val="16"/>
              </w:rPr>
            </w:pPr>
            <w:r>
              <w:rPr>
                <w:rFonts w:ascii="Verdana" w:hAnsi="Verdana"/>
                <w:sz w:val="16"/>
              </w:rPr>
              <w:t>Prijevoz prikladan za krmiva kako je opisan u europskom Vodiču za industrijsku proizvodnju sigurnih krmiva</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trHeight w:val="224"/>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lastRenderedPageBreak/>
              <w:t>Kontaminacija sredstvima za čišćenje</w:t>
            </w:r>
          </w:p>
        </w:tc>
        <w:tc>
          <w:tcPr>
            <w:tcW w:w="68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K</w:t>
            </w:r>
          </w:p>
        </w:tc>
        <w:tc>
          <w:tcPr>
            <w:tcW w:w="992"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 xml:space="preserve">mala </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right"/>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F6611" w:rsidRPr="00D70570" w:rsidRDefault="009F6611" w:rsidP="009F6611">
            <w:pPr>
              <w:pStyle w:val="Default"/>
              <w:rPr>
                <w:rFonts w:ascii="Verdana" w:hAnsi="Verdana"/>
                <w:sz w:val="16"/>
                <w:szCs w:val="16"/>
              </w:rPr>
            </w:pPr>
            <w:r>
              <w:rPr>
                <w:rFonts w:ascii="Verdana" w:hAnsi="Verdana"/>
                <w:sz w:val="16"/>
              </w:rPr>
              <w:t xml:space="preserve">Sredstva za čišćenje koja se upotrebljavaju za transportne spremnike glicerina trebalo bi ukloniti ispiranjem mlazom vode. Sredstva za čišćenje moraju se ocijeniti u smislu mogućih rizika te se trebaju poduzeti odgovarajuće mjere kako bi se rizici smanjili na prihvatljive razine. </w:t>
            </w:r>
          </w:p>
          <w:p w:rsidR="00B86C6B" w:rsidRPr="00D70570" w:rsidRDefault="009F6611" w:rsidP="00396EC6">
            <w:pPr>
              <w:pStyle w:val="Default"/>
              <w:rPr>
                <w:rFonts w:asciiTheme="minorHAnsi" w:hAnsiTheme="minorHAnsi"/>
                <w:sz w:val="18"/>
                <w:szCs w:val="18"/>
              </w:rPr>
            </w:pPr>
            <w:r>
              <w:rPr>
                <w:rFonts w:ascii="Verdana" w:hAnsi="Verdana"/>
                <w:sz w:val="16"/>
              </w:rPr>
              <w:t>Nije uobičajen rizik jer se najčešće upotrebljavaju namjenski transportni spremnici</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448"/>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sz w:val="16"/>
                <w:szCs w:val="16"/>
              </w:rPr>
            </w:pPr>
            <w:r>
              <w:rPr>
                <w:rFonts w:ascii="Verdana" w:hAnsi="Verdana"/>
                <w:b/>
                <w:sz w:val="16"/>
              </w:rPr>
              <w:t xml:space="preserve">Autocisterne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K</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850"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1</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Upotrebljavaju se spremnici od nehrđajućeg čelika koji se zagrijavaju s pomoću vode za hlađenje iz motora kroz sustav duplih stijenki (a ne navoja). </w:t>
            </w: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Strana tijela</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F</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mala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velika</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C46A1D">
            <w:pPr>
              <w:widowControl w:val="0"/>
              <w:rPr>
                <w:rFonts w:ascii="Verdana" w:hAnsi="Verdana" w:cs="Tahoma"/>
                <w:sz w:val="16"/>
                <w:szCs w:val="16"/>
              </w:rPr>
            </w:pPr>
            <w:r>
              <w:rPr>
                <w:rFonts w:ascii="Verdana" w:hAnsi="Verdana"/>
                <w:sz w:val="16"/>
              </w:rPr>
              <w:t>Kvalitetnim bi se planom trebao zahtijevati natkriveni utovar autocisterni s glicerinom.</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 xml:space="preserve">Štetnici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B</w:t>
            </w:r>
          </w:p>
        </w:tc>
        <w:tc>
          <w:tcPr>
            <w:tcW w:w="992"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umjerena</w:t>
            </w:r>
          </w:p>
        </w:tc>
        <w:tc>
          <w:tcPr>
            <w:tcW w:w="1418"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umjerena</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C46A1D">
            <w:pPr>
              <w:widowControl w:val="0"/>
              <w:rPr>
                <w:rFonts w:ascii="Verdana" w:hAnsi="Verdana" w:cs="Tahoma"/>
                <w:sz w:val="16"/>
                <w:szCs w:val="16"/>
              </w:rPr>
            </w:pPr>
            <w:r>
              <w:rPr>
                <w:rFonts w:ascii="Verdana" w:hAnsi="Verdana"/>
                <w:sz w:val="16"/>
              </w:rPr>
              <w:t>Preduvjetni program za suzbijanje štetnika</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Provjeravati stanje u pogledu štetnika</w:t>
            </w:r>
          </w:p>
        </w:tc>
      </w:tr>
    </w:tbl>
    <w:p w:rsidR="00183009" w:rsidRPr="00687C0E" w:rsidRDefault="00183009" w:rsidP="004E54A8">
      <w:pPr>
        <w:rPr>
          <w:rFonts w:ascii="Verdana" w:hAnsi="Verdana"/>
        </w:rPr>
        <w:sectPr w:rsidR="00183009" w:rsidRPr="00687C0E" w:rsidSect="009218C6">
          <w:headerReference w:type="default" r:id="rId24"/>
          <w:pgSz w:w="15840" w:h="12240" w:orient="landscape"/>
          <w:pgMar w:top="1134" w:right="851" w:bottom="284" w:left="851" w:header="720" w:footer="720" w:gutter="0"/>
          <w:cols w:space="720"/>
          <w:docGrid w:linePitch="360"/>
        </w:sectPr>
      </w:pPr>
    </w:p>
    <w:p w:rsidR="00E33DAE" w:rsidRPr="00687C0E" w:rsidRDefault="00E33DAE" w:rsidP="008675C9">
      <w:pPr>
        <w:pStyle w:val="Heading1"/>
        <w:numPr>
          <w:ilvl w:val="0"/>
          <w:numId w:val="0"/>
        </w:numPr>
        <w:ind w:left="432"/>
        <w:rPr>
          <w:rFonts w:ascii="Verdana" w:hAnsi="Verdana" w:cs="Tahoma"/>
          <w:sz w:val="20"/>
          <w:szCs w:val="20"/>
        </w:rPr>
      </w:pPr>
    </w:p>
    <w:p w:rsidR="002E52C2" w:rsidRPr="00687C0E" w:rsidRDefault="00E80F73" w:rsidP="00E80F73">
      <w:pPr>
        <w:pStyle w:val="Heading1"/>
        <w:numPr>
          <w:ilvl w:val="0"/>
          <w:numId w:val="0"/>
        </w:numPr>
        <w:rPr>
          <w:rFonts w:ascii="Verdana" w:hAnsi="Verdana"/>
        </w:rPr>
      </w:pPr>
      <w:bookmarkStart w:id="69" w:name="_Toc354998630"/>
      <w:bookmarkStart w:id="70" w:name="_Toc435620778"/>
      <w:r>
        <w:rPr>
          <w:rFonts w:ascii="Verdana" w:hAnsi="Verdana"/>
        </w:rPr>
        <w:t>9. Minimalno praćenje</w:t>
      </w:r>
      <w:bookmarkEnd w:id="69"/>
      <w:bookmarkEnd w:id="70"/>
    </w:p>
    <w:p w:rsidR="00816A4D" w:rsidRPr="00687C0E" w:rsidRDefault="00816A4D" w:rsidP="006D3ABA">
      <w:pPr>
        <w:jc w:val="both"/>
        <w:rPr>
          <w:rFonts w:ascii="Verdana" w:hAnsi="Verdana" w:cs="Tahoma"/>
          <w:szCs w:val="20"/>
        </w:rPr>
      </w:pPr>
    </w:p>
    <w:p w:rsidR="007D5256" w:rsidRPr="00687C0E" w:rsidRDefault="00DB5BD0" w:rsidP="006D3ABA">
      <w:pPr>
        <w:jc w:val="both"/>
        <w:rPr>
          <w:rFonts w:ascii="Verdana" w:hAnsi="Verdana" w:cs="Tahoma"/>
          <w:szCs w:val="20"/>
        </w:rPr>
      </w:pPr>
      <w:r>
        <w:rPr>
          <w:rFonts w:ascii="Verdana" w:hAnsi="Verdana"/>
        </w:rPr>
        <w:t xml:space="preserve">Sudionici sustava EFISC provode plan praćenja kako je opisan u EFISC-ovu Kodeksu, odjeljak 4.4.3. </w:t>
      </w:r>
    </w:p>
    <w:p w:rsidR="00DB5BD0" w:rsidRPr="00687C0E" w:rsidRDefault="00DB5BD0" w:rsidP="006D3ABA">
      <w:pPr>
        <w:jc w:val="both"/>
        <w:rPr>
          <w:rFonts w:ascii="Verdana" w:hAnsi="Verdana" w:cs="Tahoma"/>
          <w:szCs w:val="20"/>
        </w:rPr>
      </w:pPr>
    </w:p>
    <w:p w:rsidR="00DB5BD0" w:rsidRPr="00633719" w:rsidRDefault="00DB5BD0" w:rsidP="006D3ABA">
      <w:pPr>
        <w:jc w:val="both"/>
        <w:rPr>
          <w:rFonts w:ascii="Verdana" w:hAnsi="Verdana" w:cs="Tahoma"/>
          <w:szCs w:val="20"/>
        </w:rPr>
      </w:pPr>
      <w:r>
        <w:rPr>
          <w:rFonts w:ascii="Verdana" w:hAnsi="Verdana"/>
        </w:rPr>
        <w:t>U slučaju da na raspolaganju nema dovoljno podataka za procjenu rizika primjenjuju se sljedeći minimalni zahtjevi za praćenje. Minimalan broj analiza ovisit će o količini krmiva u tonama proizvedenoj na jednoj lokaciji kao što je prikazano u tablici u nastavku.</w:t>
      </w:r>
    </w:p>
    <w:p w:rsidR="002C2C5A" w:rsidRDefault="002C2C5A" w:rsidP="006D3ABA">
      <w:pPr>
        <w:jc w:val="both"/>
        <w:rPr>
          <w:rFonts w:ascii="Verdana" w:hAnsi="Verdana" w:cs="Tahoma"/>
          <w:szCs w:val="20"/>
        </w:rPr>
      </w:pPr>
    </w:p>
    <w:p w:rsidR="00DB5BD0" w:rsidRPr="00687C0E" w:rsidRDefault="00DB5BD0" w:rsidP="00D86426">
      <w:pPr>
        <w:autoSpaceDE w:val="0"/>
        <w:autoSpaceDN w:val="0"/>
        <w:adjustRightInd w:val="0"/>
        <w:rPr>
          <w:rFonts w:ascii="Verdana" w:hAnsi="Verdana" w:cs="Tahoma"/>
          <w:b/>
          <w:bCs/>
          <w:szCs w:val="20"/>
        </w:rPr>
      </w:pPr>
    </w:p>
    <w:p w:rsidR="00D86426" w:rsidRPr="00687C0E" w:rsidRDefault="00AB104D" w:rsidP="00D86426">
      <w:pPr>
        <w:autoSpaceDE w:val="0"/>
        <w:autoSpaceDN w:val="0"/>
        <w:adjustRightInd w:val="0"/>
        <w:rPr>
          <w:rFonts w:ascii="Verdana" w:hAnsi="Verdana" w:cs="Tahoma"/>
          <w:b/>
          <w:bCs/>
          <w:szCs w:val="20"/>
          <w:u w:val="single"/>
        </w:rPr>
      </w:pPr>
      <w:r>
        <w:rPr>
          <w:rFonts w:ascii="Verdana" w:hAnsi="Verdana"/>
          <w:b/>
          <w:u w:val="single"/>
        </w:rPr>
        <w:t>Minimalni plan praćenja za glicerin kao nusproizvod prerade biljnog ulja</w:t>
      </w:r>
    </w:p>
    <w:p w:rsidR="00AB104D" w:rsidRPr="00687C0E" w:rsidRDefault="00AB104D" w:rsidP="00D86426">
      <w:pPr>
        <w:autoSpaceDE w:val="0"/>
        <w:autoSpaceDN w:val="0"/>
        <w:adjustRightInd w:val="0"/>
        <w:rPr>
          <w:rFonts w:ascii="Verdana" w:hAnsi="Verdana" w:cs="Tahoma"/>
          <w:szCs w:val="20"/>
        </w:rPr>
      </w:pPr>
    </w:p>
    <w:p w:rsidR="00D86426" w:rsidRPr="00687C0E" w:rsidRDefault="00DB5BD0" w:rsidP="00D86426">
      <w:pPr>
        <w:autoSpaceDE w:val="0"/>
        <w:autoSpaceDN w:val="0"/>
        <w:adjustRightInd w:val="0"/>
        <w:rPr>
          <w:rFonts w:ascii="Verdana" w:hAnsi="Verdana" w:cs="Tahoma"/>
          <w:b/>
          <w:szCs w:val="20"/>
        </w:rPr>
      </w:pPr>
      <w:r>
        <w:rPr>
          <w:rFonts w:ascii="Verdana" w:hAnsi="Verdana"/>
          <w:b/>
        </w:rPr>
        <w:t xml:space="preserve">Tablica A  Glicerin i sirovi glicerin. </w:t>
      </w:r>
    </w:p>
    <w:p w:rsidR="00D86426" w:rsidRPr="00687C0E" w:rsidRDefault="00D86426" w:rsidP="00D86426">
      <w:pPr>
        <w:autoSpaceDE w:val="0"/>
        <w:autoSpaceDN w:val="0"/>
        <w:adjustRightInd w:val="0"/>
        <w:rPr>
          <w:rFonts w:ascii="Verdana" w:hAnsi="Verdan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558"/>
        <w:gridCol w:w="1418"/>
      </w:tblGrid>
      <w:tr w:rsidR="00687C0E" w:rsidRPr="00687C0E" w:rsidTr="007B1792">
        <w:trPr>
          <w:jc w:val="center"/>
        </w:trPr>
        <w:tc>
          <w:tcPr>
            <w:tcW w:w="2943" w:type="dxa"/>
            <w:shd w:val="clear" w:color="auto" w:fill="DBE5F1"/>
          </w:tcPr>
          <w:p w:rsidR="00687C0E" w:rsidRPr="00687C0E" w:rsidRDefault="00687C0E" w:rsidP="00446691">
            <w:pPr>
              <w:autoSpaceDE w:val="0"/>
              <w:autoSpaceDN w:val="0"/>
              <w:adjustRightInd w:val="0"/>
              <w:rPr>
                <w:rFonts w:ascii="Verdana" w:hAnsi="Verdana" w:cs="Tahoma"/>
                <w:b/>
                <w:szCs w:val="20"/>
              </w:rPr>
            </w:pPr>
            <w:r>
              <w:rPr>
                <w:rFonts w:ascii="Verdana" w:hAnsi="Verdana"/>
                <w:b/>
              </w:rPr>
              <w:t>Godišnja proizvodnja u tonama</w:t>
            </w:r>
          </w:p>
          <w:p w:rsidR="00687C0E" w:rsidRPr="00687C0E" w:rsidRDefault="00687C0E" w:rsidP="00446691">
            <w:pPr>
              <w:autoSpaceDE w:val="0"/>
              <w:autoSpaceDN w:val="0"/>
              <w:adjustRightInd w:val="0"/>
              <w:rPr>
                <w:rFonts w:ascii="Verdana" w:hAnsi="Verdana" w:cs="Tahoma"/>
                <w:b/>
                <w:szCs w:val="20"/>
              </w:rPr>
            </w:pPr>
            <w:r>
              <w:rPr>
                <w:rFonts w:ascii="Verdana" w:hAnsi="Verdana"/>
                <w:b/>
              </w:rPr>
              <w:t>Parametar</w:t>
            </w:r>
          </w:p>
        </w:tc>
        <w:tc>
          <w:tcPr>
            <w:tcW w:w="1418" w:type="dxa"/>
            <w:shd w:val="clear" w:color="auto" w:fill="DBE5F1"/>
          </w:tcPr>
          <w:p w:rsidR="00687C0E" w:rsidRPr="00687C0E" w:rsidRDefault="008448C2" w:rsidP="00446691">
            <w:pPr>
              <w:autoSpaceDE w:val="0"/>
              <w:autoSpaceDN w:val="0"/>
              <w:adjustRightInd w:val="0"/>
              <w:rPr>
                <w:rFonts w:ascii="Verdana" w:hAnsi="Verdana" w:cs="Tahoma"/>
                <w:b/>
                <w:bCs/>
                <w:szCs w:val="20"/>
              </w:rPr>
            </w:pPr>
            <w:r>
              <w:rPr>
                <w:rFonts w:ascii="Verdana" w:hAnsi="Verdana"/>
                <w:b/>
              </w:rPr>
              <w:t>≤</w:t>
            </w:r>
            <w:r w:rsidR="00687C0E">
              <w:rPr>
                <w:rFonts w:ascii="Verdana" w:hAnsi="Verdana"/>
                <w:b/>
              </w:rPr>
              <w:t> 10 000 t</w:t>
            </w:r>
          </w:p>
          <w:p w:rsidR="00687C0E" w:rsidRPr="00687C0E" w:rsidRDefault="00687C0E" w:rsidP="00446691">
            <w:pPr>
              <w:autoSpaceDE w:val="0"/>
              <w:autoSpaceDN w:val="0"/>
              <w:adjustRightInd w:val="0"/>
              <w:rPr>
                <w:rFonts w:ascii="Verdana" w:hAnsi="Verdana" w:cs="Tahoma"/>
                <w:szCs w:val="20"/>
              </w:rPr>
            </w:pPr>
          </w:p>
        </w:tc>
        <w:tc>
          <w:tcPr>
            <w:tcW w:w="155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10 000 t –</w:t>
            </w:r>
          </w:p>
          <w:p w:rsidR="00687C0E" w:rsidRPr="00687C0E" w:rsidRDefault="008448C2" w:rsidP="00446691">
            <w:pPr>
              <w:autoSpaceDE w:val="0"/>
              <w:autoSpaceDN w:val="0"/>
              <w:adjustRightInd w:val="0"/>
              <w:rPr>
                <w:rFonts w:ascii="Verdana" w:hAnsi="Verdana" w:cs="Tahoma"/>
                <w:b/>
                <w:bCs/>
                <w:szCs w:val="20"/>
              </w:rPr>
            </w:pPr>
            <w:r>
              <w:rPr>
                <w:rFonts w:ascii="Verdana" w:hAnsi="Verdana"/>
                <w:b/>
              </w:rPr>
              <w:t>≤</w:t>
            </w:r>
            <w:r w:rsidR="00687C0E">
              <w:rPr>
                <w:rFonts w:ascii="Verdana" w:hAnsi="Verdana"/>
                <w:b/>
              </w:rPr>
              <w:t> 20 000 t</w:t>
            </w:r>
          </w:p>
          <w:p w:rsidR="00687C0E" w:rsidRPr="00687C0E" w:rsidRDefault="00687C0E" w:rsidP="00446691">
            <w:pPr>
              <w:autoSpaceDE w:val="0"/>
              <w:autoSpaceDN w:val="0"/>
              <w:adjustRightInd w:val="0"/>
              <w:rPr>
                <w:rFonts w:ascii="Verdana" w:hAnsi="Verdana" w:cs="Tahoma"/>
                <w:szCs w:val="20"/>
              </w:rPr>
            </w:pPr>
          </w:p>
        </w:tc>
        <w:tc>
          <w:tcPr>
            <w:tcW w:w="141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20 000 t</w:t>
            </w:r>
          </w:p>
          <w:p w:rsidR="00687C0E" w:rsidRPr="00687C0E" w:rsidRDefault="00687C0E" w:rsidP="00446691">
            <w:pPr>
              <w:autoSpaceDE w:val="0"/>
              <w:autoSpaceDN w:val="0"/>
              <w:adjustRightInd w:val="0"/>
              <w:rPr>
                <w:rFonts w:ascii="Verdana" w:hAnsi="Verdana" w:cs="Tahoma"/>
                <w:szCs w:val="20"/>
              </w:rPr>
            </w:pP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Dioksin</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Dioksinu sličan PCB</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PCB koji nisu slični dioksinu</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D77B82">
            <w:pPr>
              <w:autoSpaceDE w:val="0"/>
              <w:autoSpaceDN w:val="0"/>
              <w:adjustRightInd w:val="0"/>
              <w:rPr>
                <w:rFonts w:ascii="Verdana" w:hAnsi="Verdana" w:cs="Tahoma"/>
                <w:b/>
                <w:szCs w:val="20"/>
              </w:rPr>
            </w:pPr>
            <w:r>
              <w:rPr>
                <w:rFonts w:ascii="Verdana" w:hAnsi="Verdana"/>
                <w:b/>
              </w:rPr>
              <w:t>Salmonela</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3</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Teški metali (Pb, Cd, As, Hg)</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AA6A8C">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Pesticidi</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Metanol*</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4</w:t>
            </w:r>
          </w:p>
        </w:tc>
      </w:tr>
    </w:tbl>
    <w:p w:rsidR="00AB104D" w:rsidRPr="00687C0E" w:rsidRDefault="00427188" w:rsidP="007B1792">
      <w:pPr>
        <w:autoSpaceDE w:val="0"/>
        <w:autoSpaceDN w:val="0"/>
        <w:adjustRightInd w:val="0"/>
        <w:ind w:left="708"/>
        <w:rPr>
          <w:rFonts w:ascii="Verdana" w:hAnsi="Verdana" w:cs="Tahoma"/>
          <w:szCs w:val="20"/>
        </w:rPr>
      </w:pPr>
      <w:r>
        <w:rPr>
          <w:rFonts w:ascii="Verdana" w:hAnsi="Verdana"/>
        </w:rPr>
        <w:t>*Ispitivanja u vezi s metanolom samo za sirovi glicerin</w:t>
      </w:r>
    </w:p>
    <w:p w:rsidR="000D43B8" w:rsidRPr="008E1E10" w:rsidRDefault="000D43B8" w:rsidP="008E1E10">
      <w:pPr>
        <w:tabs>
          <w:tab w:val="left" w:pos="6945"/>
        </w:tabs>
        <w:rPr>
          <w:rFonts w:ascii="Verdana" w:hAnsi="Verdana" w:cs="Tahoma"/>
          <w:szCs w:val="20"/>
        </w:rPr>
      </w:pPr>
    </w:p>
    <w:sectPr w:rsidR="000D43B8" w:rsidRPr="008E1E10" w:rsidSect="002C35C6">
      <w:headerReference w:type="default" r:id="rId25"/>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CE" w:rsidRDefault="00515DCE">
      <w:r>
        <w:separator/>
      </w:r>
    </w:p>
  </w:endnote>
  <w:endnote w:type="continuationSeparator" w:id="0">
    <w:p w:rsidR="00515DCE" w:rsidRDefault="0051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E" w:rsidRDefault="00515DCE" w:rsidP="0062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DCE" w:rsidRDefault="00515DCE" w:rsidP="00754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E" w:rsidRDefault="00515DCE" w:rsidP="008E1E10">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02776D">
      <w:rPr>
        <w:rStyle w:val="PageNumber"/>
        <w:noProof/>
      </w:rPr>
      <w:t>15</w:t>
    </w:r>
    <w:r>
      <w:rPr>
        <w:rStyle w:val="PageNumber"/>
      </w:rPr>
      <w:fldChar w:fldCharType="end"/>
    </w:r>
  </w:p>
  <w:p w:rsidR="00515DCE" w:rsidRPr="00E44357" w:rsidRDefault="00515DCE" w:rsidP="005C03F3">
    <w:pPr>
      <w:pStyle w:val="Title"/>
      <w:jc w:val="left"/>
      <w:rPr>
        <w:rFonts w:ascii="Verdana" w:hAnsi="Verdana"/>
        <w:b w:val="0"/>
        <w:i/>
        <w:color w:val="4F81BD"/>
        <w:sz w:val="18"/>
        <w:szCs w:val="18"/>
        <w:u w:val="none"/>
      </w:rPr>
    </w:pPr>
    <w:r>
      <w:rPr>
        <w:rFonts w:ascii="Verdana" w:hAnsi="Verdana"/>
        <w:b w:val="0"/>
        <w:i/>
        <w:color w:val="4F81BD"/>
        <w:sz w:val="18"/>
        <w:u w:val="none"/>
      </w:rPr>
      <w:t xml:space="preserve">Vodič EFISC-a – Sektorski referentni dokument o proizvodnji sigurnih krmiva preradom </w:t>
    </w:r>
    <w:proofErr w:type="spellStart"/>
    <w:r>
      <w:rPr>
        <w:rFonts w:ascii="Verdana" w:hAnsi="Verdana"/>
        <w:b w:val="0"/>
        <w:i/>
        <w:color w:val="4F81BD"/>
        <w:sz w:val="18"/>
        <w:u w:val="none"/>
      </w:rPr>
      <w:t>biodizela</w:t>
    </w:r>
    <w:proofErr w:type="spellEnd"/>
  </w:p>
  <w:p w:rsidR="00515DCE" w:rsidRDefault="00515DCE" w:rsidP="00754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CE" w:rsidRDefault="00515DCE">
      <w:r>
        <w:separator/>
      </w:r>
    </w:p>
  </w:footnote>
  <w:footnote w:type="continuationSeparator" w:id="0">
    <w:p w:rsidR="00515DCE" w:rsidRDefault="00515DCE">
      <w:r>
        <w:continuationSeparator/>
      </w:r>
    </w:p>
  </w:footnote>
  <w:footnote w:id="1">
    <w:p w:rsidR="00515DCE" w:rsidRPr="000D26DF" w:rsidRDefault="00515DCE" w:rsidP="00A246EB">
      <w:pPr>
        <w:autoSpaceDE w:val="0"/>
        <w:autoSpaceDN w:val="0"/>
        <w:adjustRightInd w:val="0"/>
        <w:rPr>
          <w:rFonts w:cs="Tahoma"/>
          <w:bCs/>
          <w:szCs w:val="20"/>
          <w:lang w:eastAsia="fr-BE"/>
        </w:rPr>
      </w:pPr>
      <w:r>
        <w:rPr>
          <w:rStyle w:val="FootnoteReference"/>
        </w:rPr>
        <w:footnoteRef/>
      </w:r>
      <w:r>
        <w:t xml:space="preserve"> Sektorski referentni dokument Fediola: Dodatak 4. Europskom vodiču za dobru praksu u industrijskoj proizvodnji sigurnih krmiva: </w:t>
      </w:r>
    </w:p>
    <w:p w:rsidR="00515DCE" w:rsidRPr="000D26DF" w:rsidRDefault="0002776D" w:rsidP="00A246EB">
      <w:pPr>
        <w:autoSpaceDE w:val="0"/>
        <w:autoSpaceDN w:val="0"/>
        <w:adjustRightInd w:val="0"/>
        <w:rPr>
          <w:rFonts w:cs="Tahoma"/>
          <w:bCs/>
          <w:sz w:val="16"/>
          <w:szCs w:val="20"/>
          <w:lang w:eastAsia="fr-BE"/>
        </w:rPr>
      </w:pPr>
      <w:hyperlink r:id="rId1">
        <w:r w:rsidR="00515DCE">
          <w:rPr>
            <w:rStyle w:val="Hyperlink"/>
            <w:sz w:val="16"/>
          </w:rPr>
          <w:t>http://www.efisc.eu/data/1342020514Sector%20document%20oilseed%20and%20proteinmeal%20industry_version-2-2-1_16-02-11%20update%20hyperlinks%209_7.pdf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E" w:rsidRPr="00197C5A" w:rsidRDefault="00515DCE" w:rsidP="00183009">
    <w:pPr>
      <w:pStyle w:val="Header"/>
      <w:tabs>
        <w:tab w:val="clear" w:pos="4536"/>
        <w:tab w:val="clear" w:pos="9072"/>
        <w:tab w:val="right" w:pos="8789"/>
      </w:tabs>
      <w:jc w:val="both"/>
      <w:rPr>
        <w:b/>
        <w:sz w:val="24"/>
        <w:u w:val="single"/>
      </w:rPr>
    </w:pPr>
    <w:r>
      <w:tab/>
    </w:r>
  </w:p>
  <w:p w:rsidR="00515DCE" w:rsidRPr="00197C5A" w:rsidRDefault="00515DCE" w:rsidP="00E33DAE">
    <w:pPr>
      <w:pStyle w:val="Header"/>
      <w:tabs>
        <w:tab w:val="clear" w:pos="4536"/>
        <w:tab w:val="clear" w:pos="9072"/>
        <w:tab w:val="right" w:pos="8789"/>
      </w:tabs>
      <w:jc w:val="both"/>
      <w:rPr>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E" w:rsidRPr="00197C5A" w:rsidRDefault="00515DCE"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7216" behindDoc="0" locked="0" layoutInCell="1" allowOverlap="1" wp14:anchorId="6F94032D" wp14:editId="1C4AB7BB">
              <wp:simplePos x="0" y="0"/>
              <wp:positionH relativeFrom="column">
                <wp:posOffset>159385</wp:posOffset>
              </wp:positionH>
              <wp:positionV relativeFrom="paragraph">
                <wp:posOffset>-327025</wp:posOffset>
              </wp:positionV>
              <wp:extent cx="2173605" cy="528955"/>
              <wp:effectExtent l="0" t="0" r="17145"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528955"/>
                      </a:xfrm>
                      <a:prstGeom prst="rect">
                        <a:avLst/>
                      </a:prstGeom>
                      <a:solidFill>
                        <a:srgbClr val="FFFFFF"/>
                      </a:solidFill>
                      <a:ln w="9525">
                        <a:solidFill>
                          <a:srgbClr val="FFFFFF"/>
                        </a:solidFill>
                        <a:miter lim="800000"/>
                        <a:headEnd/>
                        <a:tailEnd/>
                      </a:ln>
                    </wps:spPr>
                    <wps:txbx>
                      <w:txbxContent>
                        <w:p w:rsidR="00515DCE" w:rsidRPr="00F938F3" w:rsidRDefault="00515DCE" w:rsidP="00F938F3">
                          <w:pPr>
                            <w:widowControl w:val="0"/>
                            <w:rPr>
                              <w:sz w:val="44"/>
                              <w:szCs w:val="44"/>
                            </w:rPr>
                          </w:pPr>
                          <w:r w:rsidRPr="00F938F3">
                            <w:rPr>
                              <w:rFonts w:ascii="Arial Narrow" w:hAnsi="Arial Narrow"/>
                              <w:color w:val="00B050"/>
                              <w:sz w:val="44"/>
                              <w:szCs w:val="44"/>
                            </w:rPr>
                            <w:t>Hrana za životinje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5pt;margin-top:-25.75pt;width:171.1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" strokecolor="white">
              <v:textbox>
                <w:txbxContent>
                  <w:p w:rsidR="00515DCE" w:rsidRPr="00F938F3" w:rsidRDefault="00515DCE" w:rsidP="00F938F3">
                    <w:pPr>
                      <w:widowControl w:val="0"/>
                      <w:rPr>
                        <w:sz w:val="44"/>
                        <w:szCs w:val="44"/>
                      </w:rPr>
                    </w:pPr>
                    <w:r w:rsidRPr="00F938F3">
                      <w:rPr>
                        <w:rFonts w:ascii="Arial Narrow" w:hAnsi="Arial Narrow"/>
                        <w:color w:val="00B050"/>
                        <w:sz w:val="44"/>
                        <w:szCs w:val="44"/>
                      </w:rPr>
                      <w:t>Hrana za životinje</w:t>
                    </w:r>
                  </w:p>
                </w:txbxContent>
              </v:textbox>
            </v:shape>
          </w:pict>
        </mc:Fallback>
      </mc:AlternateContent>
    </w:r>
    <w:r>
      <w:rPr>
        <w:noProof/>
        <w:lang w:val="en-GB" w:eastAsia="en-GB" w:bidi="ar-SA"/>
      </w:rPr>
      <mc:AlternateContent>
        <mc:Choice Requires="wps">
          <w:drawing>
            <wp:anchor distT="0" distB="0" distL="114300" distR="114300" simplePos="0" relativeHeight="251658240" behindDoc="0" locked="0" layoutInCell="1" allowOverlap="1" wp14:anchorId="79774770" wp14:editId="6FFC90F7">
              <wp:simplePos x="0" y="0"/>
              <wp:positionH relativeFrom="column">
                <wp:posOffset>2633345</wp:posOffset>
              </wp:positionH>
              <wp:positionV relativeFrom="paragraph">
                <wp:posOffset>-198755</wp:posOffset>
              </wp:positionV>
              <wp:extent cx="4921885" cy="323850"/>
              <wp:effectExtent l="0" t="0" r="1206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23850"/>
                      </a:xfrm>
                      <a:prstGeom prst="rect">
                        <a:avLst/>
                      </a:prstGeom>
                      <a:solidFill>
                        <a:srgbClr val="FFFFFF"/>
                      </a:solidFill>
                      <a:ln w="9525">
                        <a:solidFill>
                          <a:srgbClr val="FFFFFF"/>
                        </a:solidFill>
                        <a:miter lim="800000"/>
                        <a:headEnd/>
                        <a:tailEnd/>
                      </a:ln>
                    </wps:spPr>
                    <wps:txbx>
                      <w:txbxContent>
                        <w:p w:rsidR="00515DCE" w:rsidRDefault="00515DCE" w:rsidP="00183009">
                          <w:pPr>
                            <w:widowControl w:val="0"/>
                          </w:pPr>
                          <w:r>
                            <w:rPr>
                              <w:rFonts w:ascii="Arial Rounded MT Bold" w:hAnsi="Arial Rounded MT Bold"/>
                              <w:sz w:val="28"/>
                            </w:rPr>
                            <w:t xml:space="preserve">Analiza rizika lanca prerade </w:t>
                          </w:r>
                          <w:proofErr w:type="spellStart"/>
                          <w:r>
                            <w:rPr>
                              <w:rFonts w:ascii="Arial Rounded MT Bold" w:hAnsi="Arial Rounded MT Bold"/>
                              <w:sz w:val="28"/>
                            </w:rPr>
                            <w:t>biodizela</w:t>
                          </w:r>
                          <w:proofErr w:type="spellEnd"/>
                          <w:r>
                            <w:rPr>
                              <w:rFonts w:ascii="Arial Rounded MT Bold" w:hAnsi="Arial Rounded MT Bold"/>
                              <w:sz w:val="28"/>
                            </w:rPr>
                            <w:t xml:space="preserve"> </w:t>
                          </w:r>
                        </w:p>
                        <w:p w:rsidR="00515DCE" w:rsidRDefault="00515D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07.35pt;margin-top:-15.65pt;width:38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QKQIAAFcEAAAOAAAAZHJzL2Uyb0RvYy54bWysVNtu2zAMfR+wfxD0vjhxkzYx4hRdugwD&#10;ugvQ7gNkWbaFSaImKbGzrx8lp2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" strokecolor="white">
              <v:textbox>
                <w:txbxContent>
                  <w:p w:rsidR="00515DCE" w:rsidRDefault="00515DCE" w:rsidP="00183009">
                    <w:pPr>
                      <w:widowControl w:val="0"/>
                    </w:pPr>
                    <w:r>
                      <w:rPr>
                        <w:rFonts w:ascii="Arial Rounded MT Bold" w:hAnsi="Arial Rounded MT Bold"/>
                        <w:sz w:val="28"/>
                      </w:rPr>
                      <w:t xml:space="preserve">Analiza rizika lanca prerade </w:t>
                    </w:r>
                    <w:proofErr w:type="spellStart"/>
                    <w:r>
                      <w:rPr>
                        <w:rFonts w:ascii="Arial Rounded MT Bold" w:hAnsi="Arial Rounded MT Bold"/>
                        <w:sz w:val="28"/>
                      </w:rPr>
                      <w:t>biodizela</w:t>
                    </w:r>
                    <w:proofErr w:type="spellEnd"/>
                    <w:r>
                      <w:rPr>
                        <w:rFonts w:ascii="Arial Rounded MT Bold" w:hAnsi="Arial Rounded MT Bold"/>
                        <w:sz w:val="28"/>
                      </w:rPr>
                      <w:t xml:space="preserve"> </w:t>
                    </w:r>
                  </w:p>
                  <w:p w:rsidR="00515DCE" w:rsidRDefault="00515DCE"/>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E" w:rsidRPr="00197C5A" w:rsidRDefault="00515DCE"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9264" behindDoc="0" locked="0" layoutInCell="1" allowOverlap="1" wp14:anchorId="4CC3FACA" wp14:editId="1578E563">
              <wp:simplePos x="0" y="0"/>
              <wp:positionH relativeFrom="column">
                <wp:posOffset>8190865</wp:posOffset>
              </wp:positionH>
              <wp:positionV relativeFrom="paragraph">
                <wp:posOffset>-180975</wp:posOffset>
              </wp:positionV>
              <wp:extent cx="1052195" cy="779145"/>
              <wp:effectExtent l="0" t="0" r="14605"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79145"/>
                      </a:xfrm>
                      <a:prstGeom prst="rect">
                        <a:avLst/>
                      </a:prstGeom>
                      <a:solidFill>
                        <a:srgbClr val="FFFFFF"/>
                      </a:solidFill>
                      <a:ln w="9525">
                        <a:solidFill>
                          <a:srgbClr val="FFFFFF"/>
                        </a:solidFill>
                        <a:miter lim="800000"/>
                        <a:headEnd/>
                        <a:tailEnd/>
                      </a:ln>
                    </wps:spPr>
                    <wps:txbx>
                      <w:txbxContent>
                        <w:p w:rsidR="00515DCE" w:rsidRPr="00A80199" w:rsidRDefault="00515DCE" w:rsidP="00183009">
                          <w:pPr>
                            <w:widowControl w:val="0"/>
                            <w:rPr>
                              <w:rFonts w:ascii="Arial Narrow" w:hAnsi="Arial Narrow"/>
                              <w:color w:val="00B050"/>
                              <w:sz w:val="72"/>
                              <w:szCs w:val="72"/>
                            </w:rPr>
                          </w:pPr>
                          <w:r>
                            <w:rPr>
                              <w:rFonts w:ascii="Arial Narrow" w:hAnsi="Arial Narrow"/>
                              <w:color w:val="00B050"/>
                              <w:sz w:val="72"/>
                            </w:rPr>
                            <w:t>Hrana za životinje</w:t>
                          </w:r>
                        </w:p>
                        <w:p w:rsidR="00515DCE" w:rsidRDefault="00515DC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44.95pt;margin-top:-14.25pt;width:82.85pt;height:6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" strokecolor="white">
              <v:textbox style="mso-fit-shape-to-text:t">
                <w:txbxContent>
                  <w:p w:rsidR="00413FCE" w:rsidRPr="00A80199" w:rsidRDefault="00413FCE" w:rsidP="00183009">
                    <w:pPr>
                      <w:widowControl w:val="0"/>
                      <w:rPr>
                        <w:rFonts w:ascii="Arial Narrow" w:hAnsi="Arial Narrow"/>
                        <w:color w:val="00B050"/>
                        <w:sz w:val="72"/>
                        <w:szCs w:val="72"/>
                      </w:rPr>
                    </w:pPr>
                    <w:r>
                      <w:rPr>
                        <w:rFonts w:ascii="Arial Narrow" w:hAnsi="Arial Narrow"/>
                        <w:color w:val="00B050"/>
                        <w:sz w:val="72"/>
                      </w:rPr>
                      <w:t>Hrana za životinje</w:t>
                    </w:r>
                  </w:p>
                  <w:p w:rsidR="00413FCE" w:rsidRDefault="00413FCE"/>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3pt;height:69.05pt" o:bullet="t">
        <v:imagedata r:id="rId1" o:title="ST Michel 34 Logo &amp; address FINAL_small png"/>
      </v:shape>
    </w:pict>
  </w:numPicBullet>
  <w:numPicBullet w:numPicBulletId="1">
    <w:pict>
      <v:shape id="_x0000_i1027" type="#_x0000_t75" style="width:9pt;height:9pt" o:bullet="t">
        <v:imagedata r:id="rId2"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1"/>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LET EN"/>
  </w:docVars>
  <w:rsids>
    <w:rsidRoot w:val="004D1AD7"/>
    <w:rsid w:val="000050B7"/>
    <w:rsid w:val="00006AAF"/>
    <w:rsid w:val="00012626"/>
    <w:rsid w:val="000160B1"/>
    <w:rsid w:val="00020681"/>
    <w:rsid w:val="00022290"/>
    <w:rsid w:val="00024170"/>
    <w:rsid w:val="00024577"/>
    <w:rsid w:val="00024A13"/>
    <w:rsid w:val="00025440"/>
    <w:rsid w:val="00025445"/>
    <w:rsid w:val="0002776D"/>
    <w:rsid w:val="00036DE9"/>
    <w:rsid w:val="00044C0C"/>
    <w:rsid w:val="0005599A"/>
    <w:rsid w:val="00055D0D"/>
    <w:rsid w:val="00056936"/>
    <w:rsid w:val="000621B5"/>
    <w:rsid w:val="00063494"/>
    <w:rsid w:val="00065F29"/>
    <w:rsid w:val="00067437"/>
    <w:rsid w:val="00070FEF"/>
    <w:rsid w:val="000728D7"/>
    <w:rsid w:val="00072A49"/>
    <w:rsid w:val="00073614"/>
    <w:rsid w:val="00073E32"/>
    <w:rsid w:val="0007619F"/>
    <w:rsid w:val="00076622"/>
    <w:rsid w:val="000767F6"/>
    <w:rsid w:val="00082828"/>
    <w:rsid w:val="00083085"/>
    <w:rsid w:val="00093BF1"/>
    <w:rsid w:val="00097CE4"/>
    <w:rsid w:val="000A6745"/>
    <w:rsid w:val="000B1296"/>
    <w:rsid w:val="000B3AB1"/>
    <w:rsid w:val="000C0621"/>
    <w:rsid w:val="000C417B"/>
    <w:rsid w:val="000C4E00"/>
    <w:rsid w:val="000C52F2"/>
    <w:rsid w:val="000C679F"/>
    <w:rsid w:val="000C7703"/>
    <w:rsid w:val="000D0A93"/>
    <w:rsid w:val="000D26DF"/>
    <w:rsid w:val="000D43B8"/>
    <w:rsid w:val="000D558A"/>
    <w:rsid w:val="000D63AA"/>
    <w:rsid w:val="000E66E5"/>
    <w:rsid w:val="000E7271"/>
    <w:rsid w:val="000F0077"/>
    <w:rsid w:val="000F1C47"/>
    <w:rsid w:val="001062E6"/>
    <w:rsid w:val="00120270"/>
    <w:rsid w:val="00120930"/>
    <w:rsid w:val="00123823"/>
    <w:rsid w:val="00123838"/>
    <w:rsid w:val="00123EED"/>
    <w:rsid w:val="00127622"/>
    <w:rsid w:val="001327AB"/>
    <w:rsid w:val="00133433"/>
    <w:rsid w:val="001351E6"/>
    <w:rsid w:val="00136F2C"/>
    <w:rsid w:val="00137DC3"/>
    <w:rsid w:val="00141E5B"/>
    <w:rsid w:val="00147A0E"/>
    <w:rsid w:val="00151ACA"/>
    <w:rsid w:val="00154E0F"/>
    <w:rsid w:val="0015798E"/>
    <w:rsid w:val="00160497"/>
    <w:rsid w:val="0016375A"/>
    <w:rsid w:val="00183009"/>
    <w:rsid w:val="001946A3"/>
    <w:rsid w:val="001961E4"/>
    <w:rsid w:val="00197C5A"/>
    <w:rsid w:val="00197F1B"/>
    <w:rsid w:val="001A135A"/>
    <w:rsid w:val="001A405E"/>
    <w:rsid w:val="001A78BD"/>
    <w:rsid w:val="001B01FC"/>
    <w:rsid w:val="001C1343"/>
    <w:rsid w:val="001C3A68"/>
    <w:rsid w:val="001C5882"/>
    <w:rsid w:val="001D22F4"/>
    <w:rsid w:val="001D2477"/>
    <w:rsid w:val="001D5DE3"/>
    <w:rsid w:val="001D60DA"/>
    <w:rsid w:val="001E05FE"/>
    <w:rsid w:val="0020639E"/>
    <w:rsid w:val="002153BA"/>
    <w:rsid w:val="00217A7D"/>
    <w:rsid w:val="00220777"/>
    <w:rsid w:val="00224937"/>
    <w:rsid w:val="0023340F"/>
    <w:rsid w:val="00233E3A"/>
    <w:rsid w:val="002408DC"/>
    <w:rsid w:val="00241EB4"/>
    <w:rsid w:val="00242D8A"/>
    <w:rsid w:val="00243AAB"/>
    <w:rsid w:val="00245333"/>
    <w:rsid w:val="00251EFD"/>
    <w:rsid w:val="002545DF"/>
    <w:rsid w:val="002553C5"/>
    <w:rsid w:val="0025643D"/>
    <w:rsid w:val="00257CF8"/>
    <w:rsid w:val="002611B2"/>
    <w:rsid w:val="0027238A"/>
    <w:rsid w:val="00276654"/>
    <w:rsid w:val="00286D0F"/>
    <w:rsid w:val="002A4021"/>
    <w:rsid w:val="002B0D15"/>
    <w:rsid w:val="002B2093"/>
    <w:rsid w:val="002B4EBF"/>
    <w:rsid w:val="002B77A2"/>
    <w:rsid w:val="002C2C5A"/>
    <w:rsid w:val="002C35C3"/>
    <w:rsid w:val="002C35C6"/>
    <w:rsid w:val="002D3548"/>
    <w:rsid w:val="002D4D47"/>
    <w:rsid w:val="002E52C2"/>
    <w:rsid w:val="002E55EF"/>
    <w:rsid w:val="002F0AB8"/>
    <w:rsid w:val="002F46C4"/>
    <w:rsid w:val="00300F3C"/>
    <w:rsid w:val="00301A1D"/>
    <w:rsid w:val="00302D9E"/>
    <w:rsid w:val="00303AC4"/>
    <w:rsid w:val="00304753"/>
    <w:rsid w:val="0031639C"/>
    <w:rsid w:val="00320589"/>
    <w:rsid w:val="003211B6"/>
    <w:rsid w:val="0033448F"/>
    <w:rsid w:val="00337129"/>
    <w:rsid w:val="00337FB2"/>
    <w:rsid w:val="003440D6"/>
    <w:rsid w:val="00356D1C"/>
    <w:rsid w:val="0035700C"/>
    <w:rsid w:val="0036364B"/>
    <w:rsid w:val="00363BDE"/>
    <w:rsid w:val="003737F1"/>
    <w:rsid w:val="00384804"/>
    <w:rsid w:val="00384D26"/>
    <w:rsid w:val="00387FC1"/>
    <w:rsid w:val="00392641"/>
    <w:rsid w:val="003958A7"/>
    <w:rsid w:val="00396EC6"/>
    <w:rsid w:val="003A2B05"/>
    <w:rsid w:val="003A34DD"/>
    <w:rsid w:val="003B2746"/>
    <w:rsid w:val="003B5B27"/>
    <w:rsid w:val="003C2F0D"/>
    <w:rsid w:val="003C5124"/>
    <w:rsid w:val="003D17F7"/>
    <w:rsid w:val="003D5254"/>
    <w:rsid w:val="003E010C"/>
    <w:rsid w:val="003E0838"/>
    <w:rsid w:val="003E083C"/>
    <w:rsid w:val="003E3DEF"/>
    <w:rsid w:val="003E5328"/>
    <w:rsid w:val="003E62F2"/>
    <w:rsid w:val="003F0098"/>
    <w:rsid w:val="003F1FF5"/>
    <w:rsid w:val="003F6B44"/>
    <w:rsid w:val="003F6C0F"/>
    <w:rsid w:val="00401368"/>
    <w:rsid w:val="00405850"/>
    <w:rsid w:val="00412990"/>
    <w:rsid w:val="00413C64"/>
    <w:rsid w:val="00413FCE"/>
    <w:rsid w:val="00416305"/>
    <w:rsid w:val="00421210"/>
    <w:rsid w:val="00427188"/>
    <w:rsid w:val="00427A3D"/>
    <w:rsid w:val="00427C84"/>
    <w:rsid w:val="00436063"/>
    <w:rsid w:val="0044051E"/>
    <w:rsid w:val="00441845"/>
    <w:rsid w:val="004453A9"/>
    <w:rsid w:val="00446691"/>
    <w:rsid w:val="00453723"/>
    <w:rsid w:val="00454213"/>
    <w:rsid w:val="00463602"/>
    <w:rsid w:val="0046497A"/>
    <w:rsid w:val="00471E8D"/>
    <w:rsid w:val="00477850"/>
    <w:rsid w:val="00480496"/>
    <w:rsid w:val="004819D4"/>
    <w:rsid w:val="004822A0"/>
    <w:rsid w:val="00482D81"/>
    <w:rsid w:val="004831A2"/>
    <w:rsid w:val="004832A4"/>
    <w:rsid w:val="004835CF"/>
    <w:rsid w:val="0048779E"/>
    <w:rsid w:val="00490C74"/>
    <w:rsid w:val="00492260"/>
    <w:rsid w:val="00493677"/>
    <w:rsid w:val="00494D0C"/>
    <w:rsid w:val="00496C0D"/>
    <w:rsid w:val="004A2A8A"/>
    <w:rsid w:val="004A3426"/>
    <w:rsid w:val="004B0177"/>
    <w:rsid w:val="004B1272"/>
    <w:rsid w:val="004B2FB4"/>
    <w:rsid w:val="004B4DE2"/>
    <w:rsid w:val="004C07BD"/>
    <w:rsid w:val="004C162B"/>
    <w:rsid w:val="004C645A"/>
    <w:rsid w:val="004C758F"/>
    <w:rsid w:val="004C79E5"/>
    <w:rsid w:val="004D14B9"/>
    <w:rsid w:val="004D1AD7"/>
    <w:rsid w:val="004D4347"/>
    <w:rsid w:val="004D5AB2"/>
    <w:rsid w:val="004D7624"/>
    <w:rsid w:val="004D7AD3"/>
    <w:rsid w:val="004D7CE5"/>
    <w:rsid w:val="004E2A83"/>
    <w:rsid w:val="004E2B6A"/>
    <w:rsid w:val="004E3ACA"/>
    <w:rsid w:val="004E54A8"/>
    <w:rsid w:val="004E67F7"/>
    <w:rsid w:val="004E6D41"/>
    <w:rsid w:val="004F26C9"/>
    <w:rsid w:val="004F2A09"/>
    <w:rsid w:val="004F2D87"/>
    <w:rsid w:val="004F4A2F"/>
    <w:rsid w:val="00502861"/>
    <w:rsid w:val="0050300A"/>
    <w:rsid w:val="00507F95"/>
    <w:rsid w:val="005108AF"/>
    <w:rsid w:val="00510FD1"/>
    <w:rsid w:val="00515881"/>
    <w:rsid w:val="00515DCE"/>
    <w:rsid w:val="0052268B"/>
    <w:rsid w:val="00523E52"/>
    <w:rsid w:val="00526F2F"/>
    <w:rsid w:val="00542173"/>
    <w:rsid w:val="005445EC"/>
    <w:rsid w:val="005450B4"/>
    <w:rsid w:val="00545727"/>
    <w:rsid w:val="00550C20"/>
    <w:rsid w:val="00551CD7"/>
    <w:rsid w:val="0055765D"/>
    <w:rsid w:val="00561388"/>
    <w:rsid w:val="00565264"/>
    <w:rsid w:val="00567397"/>
    <w:rsid w:val="00575312"/>
    <w:rsid w:val="00575960"/>
    <w:rsid w:val="00577B51"/>
    <w:rsid w:val="00577B75"/>
    <w:rsid w:val="00580DFB"/>
    <w:rsid w:val="00586F90"/>
    <w:rsid w:val="00587768"/>
    <w:rsid w:val="005879F8"/>
    <w:rsid w:val="00591963"/>
    <w:rsid w:val="00594E79"/>
    <w:rsid w:val="005A0181"/>
    <w:rsid w:val="005A0AC9"/>
    <w:rsid w:val="005A3788"/>
    <w:rsid w:val="005A4B4A"/>
    <w:rsid w:val="005A6305"/>
    <w:rsid w:val="005B3B72"/>
    <w:rsid w:val="005C03F3"/>
    <w:rsid w:val="005C5BE8"/>
    <w:rsid w:val="005C6B94"/>
    <w:rsid w:val="005D1B93"/>
    <w:rsid w:val="005D5D64"/>
    <w:rsid w:val="005D5E3D"/>
    <w:rsid w:val="005E187D"/>
    <w:rsid w:val="005E50D8"/>
    <w:rsid w:val="005E640C"/>
    <w:rsid w:val="005F04E4"/>
    <w:rsid w:val="005F1A8F"/>
    <w:rsid w:val="005F3DE3"/>
    <w:rsid w:val="005F40D5"/>
    <w:rsid w:val="005F6623"/>
    <w:rsid w:val="0060304D"/>
    <w:rsid w:val="00621062"/>
    <w:rsid w:val="006221FD"/>
    <w:rsid w:val="0062274A"/>
    <w:rsid w:val="0062416B"/>
    <w:rsid w:val="00624A50"/>
    <w:rsid w:val="0063108E"/>
    <w:rsid w:val="006316BC"/>
    <w:rsid w:val="00633719"/>
    <w:rsid w:val="00640844"/>
    <w:rsid w:val="00642CAA"/>
    <w:rsid w:val="00646C8C"/>
    <w:rsid w:val="006558BC"/>
    <w:rsid w:val="00660F29"/>
    <w:rsid w:val="00665768"/>
    <w:rsid w:val="00665DE8"/>
    <w:rsid w:val="00667EF1"/>
    <w:rsid w:val="00673C87"/>
    <w:rsid w:val="006742C7"/>
    <w:rsid w:val="00677000"/>
    <w:rsid w:val="00680F51"/>
    <w:rsid w:val="0068260F"/>
    <w:rsid w:val="006830AD"/>
    <w:rsid w:val="006857A4"/>
    <w:rsid w:val="00687C0E"/>
    <w:rsid w:val="00694782"/>
    <w:rsid w:val="00697308"/>
    <w:rsid w:val="006A2972"/>
    <w:rsid w:val="006A63A8"/>
    <w:rsid w:val="006B2C3B"/>
    <w:rsid w:val="006B3301"/>
    <w:rsid w:val="006C2D6A"/>
    <w:rsid w:val="006C5888"/>
    <w:rsid w:val="006D3ABA"/>
    <w:rsid w:val="006D6874"/>
    <w:rsid w:val="006F4A5D"/>
    <w:rsid w:val="007025EC"/>
    <w:rsid w:val="00710316"/>
    <w:rsid w:val="00712268"/>
    <w:rsid w:val="00716A5A"/>
    <w:rsid w:val="007207A0"/>
    <w:rsid w:val="0072409A"/>
    <w:rsid w:val="00725858"/>
    <w:rsid w:val="00731393"/>
    <w:rsid w:val="00737CEE"/>
    <w:rsid w:val="007477A4"/>
    <w:rsid w:val="007541F5"/>
    <w:rsid w:val="00767934"/>
    <w:rsid w:val="007700BC"/>
    <w:rsid w:val="00770353"/>
    <w:rsid w:val="00770EA4"/>
    <w:rsid w:val="00774B93"/>
    <w:rsid w:val="00775892"/>
    <w:rsid w:val="0078175B"/>
    <w:rsid w:val="00784AA7"/>
    <w:rsid w:val="00792A95"/>
    <w:rsid w:val="00793196"/>
    <w:rsid w:val="007972CE"/>
    <w:rsid w:val="007A766C"/>
    <w:rsid w:val="007B1792"/>
    <w:rsid w:val="007B5B25"/>
    <w:rsid w:val="007B630C"/>
    <w:rsid w:val="007C09D3"/>
    <w:rsid w:val="007C2084"/>
    <w:rsid w:val="007C363B"/>
    <w:rsid w:val="007D3F9B"/>
    <w:rsid w:val="007D5256"/>
    <w:rsid w:val="007E31B2"/>
    <w:rsid w:val="007E4EEE"/>
    <w:rsid w:val="007E4F01"/>
    <w:rsid w:val="007E626C"/>
    <w:rsid w:val="007F05F3"/>
    <w:rsid w:val="007F0BAC"/>
    <w:rsid w:val="007F7FC9"/>
    <w:rsid w:val="00800E2C"/>
    <w:rsid w:val="008018BF"/>
    <w:rsid w:val="00814E32"/>
    <w:rsid w:val="00815334"/>
    <w:rsid w:val="008154BD"/>
    <w:rsid w:val="00816A4D"/>
    <w:rsid w:val="00821E9F"/>
    <w:rsid w:val="00825340"/>
    <w:rsid w:val="00826576"/>
    <w:rsid w:val="0084091A"/>
    <w:rsid w:val="00842911"/>
    <w:rsid w:val="00843954"/>
    <w:rsid w:val="008448C2"/>
    <w:rsid w:val="00846B9A"/>
    <w:rsid w:val="00846FA4"/>
    <w:rsid w:val="0084747E"/>
    <w:rsid w:val="00850EB4"/>
    <w:rsid w:val="0085166B"/>
    <w:rsid w:val="008551A2"/>
    <w:rsid w:val="00856CBD"/>
    <w:rsid w:val="00860184"/>
    <w:rsid w:val="00863625"/>
    <w:rsid w:val="008645CC"/>
    <w:rsid w:val="00864B41"/>
    <w:rsid w:val="008652C5"/>
    <w:rsid w:val="00865A1B"/>
    <w:rsid w:val="008675C9"/>
    <w:rsid w:val="00870967"/>
    <w:rsid w:val="00874BA4"/>
    <w:rsid w:val="00883B0E"/>
    <w:rsid w:val="00891CF0"/>
    <w:rsid w:val="00891D71"/>
    <w:rsid w:val="00892146"/>
    <w:rsid w:val="008943A4"/>
    <w:rsid w:val="008A1D22"/>
    <w:rsid w:val="008A535C"/>
    <w:rsid w:val="008A5677"/>
    <w:rsid w:val="008A5B95"/>
    <w:rsid w:val="008A645C"/>
    <w:rsid w:val="008B20E6"/>
    <w:rsid w:val="008B7C7D"/>
    <w:rsid w:val="008C1157"/>
    <w:rsid w:val="008C5EFF"/>
    <w:rsid w:val="008C7C3E"/>
    <w:rsid w:val="008C7FD5"/>
    <w:rsid w:val="008E096A"/>
    <w:rsid w:val="008E0C3A"/>
    <w:rsid w:val="008E1111"/>
    <w:rsid w:val="008E1E10"/>
    <w:rsid w:val="008E37DA"/>
    <w:rsid w:val="008E5292"/>
    <w:rsid w:val="008F2137"/>
    <w:rsid w:val="008F332C"/>
    <w:rsid w:val="008F6CFB"/>
    <w:rsid w:val="008F6D2A"/>
    <w:rsid w:val="00900754"/>
    <w:rsid w:val="009054A0"/>
    <w:rsid w:val="0090580E"/>
    <w:rsid w:val="00905886"/>
    <w:rsid w:val="00906B22"/>
    <w:rsid w:val="009132A3"/>
    <w:rsid w:val="00916804"/>
    <w:rsid w:val="00916918"/>
    <w:rsid w:val="00916B7E"/>
    <w:rsid w:val="009218C6"/>
    <w:rsid w:val="00926D29"/>
    <w:rsid w:val="009301A1"/>
    <w:rsid w:val="009349BA"/>
    <w:rsid w:val="00942E2E"/>
    <w:rsid w:val="009433C8"/>
    <w:rsid w:val="009509A0"/>
    <w:rsid w:val="00957197"/>
    <w:rsid w:val="00957D33"/>
    <w:rsid w:val="00960138"/>
    <w:rsid w:val="00962636"/>
    <w:rsid w:val="0096471D"/>
    <w:rsid w:val="00967CE9"/>
    <w:rsid w:val="0097201B"/>
    <w:rsid w:val="00972405"/>
    <w:rsid w:val="00974AB8"/>
    <w:rsid w:val="00977F3C"/>
    <w:rsid w:val="00990058"/>
    <w:rsid w:val="00993467"/>
    <w:rsid w:val="0099643E"/>
    <w:rsid w:val="009A0A3C"/>
    <w:rsid w:val="009A2121"/>
    <w:rsid w:val="009A2CDE"/>
    <w:rsid w:val="009A3C54"/>
    <w:rsid w:val="009C1822"/>
    <w:rsid w:val="009C2F6A"/>
    <w:rsid w:val="009D1E57"/>
    <w:rsid w:val="009D6DEC"/>
    <w:rsid w:val="009E0A14"/>
    <w:rsid w:val="009E27A2"/>
    <w:rsid w:val="009E4596"/>
    <w:rsid w:val="009F3010"/>
    <w:rsid w:val="009F5405"/>
    <w:rsid w:val="009F62F8"/>
    <w:rsid w:val="009F6611"/>
    <w:rsid w:val="00A0169D"/>
    <w:rsid w:val="00A05D4A"/>
    <w:rsid w:val="00A1071E"/>
    <w:rsid w:val="00A12F72"/>
    <w:rsid w:val="00A21C56"/>
    <w:rsid w:val="00A246EB"/>
    <w:rsid w:val="00A25223"/>
    <w:rsid w:val="00A31C4F"/>
    <w:rsid w:val="00A355A2"/>
    <w:rsid w:val="00A36318"/>
    <w:rsid w:val="00A364D8"/>
    <w:rsid w:val="00A54A61"/>
    <w:rsid w:val="00A6285B"/>
    <w:rsid w:val="00A767A8"/>
    <w:rsid w:val="00A8208F"/>
    <w:rsid w:val="00A85F80"/>
    <w:rsid w:val="00A867DE"/>
    <w:rsid w:val="00A9523A"/>
    <w:rsid w:val="00AA243F"/>
    <w:rsid w:val="00AA6A8C"/>
    <w:rsid w:val="00AA7AE3"/>
    <w:rsid w:val="00AB104D"/>
    <w:rsid w:val="00AB1F25"/>
    <w:rsid w:val="00AB5105"/>
    <w:rsid w:val="00AB7EF3"/>
    <w:rsid w:val="00AC6825"/>
    <w:rsid w:val="00AC7C42"/>
    <w:rsid w:val="00AD34C4"/>
    <w:rsid w:val="00AD370B"/>
    <w:rsid w:val="00AD45C9"/>
    <w:rsid w:val="00AD4F35"/>
    <w:rsid w:val="00AE152A"/>
    <w:rsid w:val="00AE2290"/>
    <w:rsid w:val="00AE2E62"/>
    <w:rsid w:val="00AE710F"/>
    <w:rsid w:val="00AF545F"/>
    <w:rsid w:val="00AF5B37"/>
    <w:rsid w:val="00AF5CD3"/>
    <w:rsid w:val="00B01145"/>
    <w:rsid w:val="00B01B89"/>
    <w:rsid w:val="00B03151"/>
    <w:rsid w:val="00B06E5A"/>
    <w:rsid w:val="00B11259"/>
    <w:rsid w:val="00B11CE0"/>
    <w:rsid w:val="00B13882"/>
    <w:rsid w:val="00B13F5F"/>
    <w:rsid w:val="00B17D85"/>
    <w:rsid w:val="00B25DCF"/>
    <w:rsid w:val="00B324B4"/>
    <w:rsid w:val="00B349FE"/>
    <w:rsid w:val="00B444D8"/>
    <w:rsid w:val="00B53458"/>
    <w:rsid w:val="00B560AD"/>
    <w:rsid w:val="00B631D4"/>
    <w:rsid w:val="00B643BC"/>
    <w:rsid w:val="00B7039A"/>
    <w:rsid w:val="00B72754"/>
    <w:rsid w:val="00B72C0F"/>
    <w:rsid w:val="00B736FE"/>
    <w:rsid w:val="00B73768"/>
    <w:rsid w:val="00B83F4C"/>
    <w:rsid w:val="00B8437E"/>
    <w:rsid w:val="00B869C8"/>
    <w:rsid w:val="00B86C6B"/>
    <w:rsid w:val="00B87D01"/>
    <w:rsid w:val="00B92324"/>
    <w:rsid w:val="00BA26DA"/>
    <w:rsid w:val="00BA43AC"/>
    <w:rsid w:val="00BB4AE6"/>
    <w:rsid w:val="00BB6318"/>
    <w:rsid w:val="00BC4A73"/>
    <w:rsid w:val="00BD3ECF"/>
    <w:rsid w:val="00BD5074"/>
    <w:rsid w:val="00BD667B"/>
    <w:rsid w:val="00BD73C4"/>
    <w:rsid w:val="00BD7F30"/>
    <w:rsid w:val="00BE0625"/>
    <w:rsid w:val="00BE3A6D"/>
    <w:rsid w:val="00BE6EF6"/>
    <w:rsid w:val="00BF125E"/>
    <w:rsid w:val="00BF3FB9"/>
    <w:rsid w:val="00BF712B"/>
    <w:rsid w:val="00C01EBB"/>
    <w:rsid w:val="00C021E9"/>
    <w:rsid w:val="00C04186"/>
    <w:rsid w:val="00C05BEE"/>
    <w:rsid w:val="00C073B6"/>
    <w:rsid w:val="00C0787D"/>
    <w:rsid w:val="00C150D2"/>
    <w:rsid w:val="00C20A50"/>
    <w:rsid w:val="00C2481A"/>
    <w:rsid w:val="00C24B83"/>
    <w:rsid w:val="00C30589"/>
    <w:rsid w:val="00C319F3"/>
    <w:rsid w:val="00C44657"/>
    <w:rsid w:val="00C46A1D"/>
    <w:rsid w:val="00C475B7"/>
    <w:rsid w:val="00C50BC8"/>
    <w:rsid w:val="00C53E5C"/>
    <w:rsid w:val="00C60B69"/>
    <w:rsid w:val="00C6152D"/>
    <w:rsid w:val="00C63B1C"/>
    <w:rsid w:val="00C6786A"/>
    <w:rsid w:val="00C724B8"/>
    <w:rsid w:val="00C76E35"/>
    <w:rsid w:val="00C8714F"/>
    <w:rsid w:val="00C92347"/>
    <w:rsid w:val="00C967EF"/>
    <w:rsid w:val="00CA1685"/>
    <w:rsid w:val="00CB1F06"/>
    <w:rsid w:val="00CB2462"/>
    <w:rsid w:val="00CB6F5D"/>
    <w:rsid w:val="00CB7710"/>
    <w:rsid w:val="00CC0085"/>
    <w:rsid w:val="00CC2654"/>
    <w:rsid w:val="00CC3247"/>
    <w:rsid w:val="00CC33EE"/>
    <w:rsid w:val="00CC3C71"/>
    <w:rsid w:val="00CC3E29"/>
    <w:rsid w:val="00CC6FC6"/>
    <w:rsid w:val="00CD0667"/>
    <w:rsid w:val="00CD1365"/>
    <w:rsid w:val="00CD2F0A"/>
    <w:rsid w:val="00CD3302"/>
    <w:rsid w:val="00CE02F7"/>
    <w:rsid w:val="00CE6A2B"/>
    <w:rsid w:val="00CF1843"/>
    <w:rsid w:val="00CF1C4F"/>
    <w:rsid w:val="00CF2D05"/>
    <w:rsid w:val="00CF3131"/>
    <w:rsid w:val="00CF7A87"/>
    <w:rsid w:val="00CF7E25"/>
    <w:rsid w:val="00D008C8"/>
    <w:rsid w:val="00D03F40"/>
    <w:rsid w:val="00D05EA6"/>
    <w:rsid w:val="00D10ECC"/>
    <w:rsid w:val="00D117AF"/>
    <w:rsid w:val="00D11B5D"/>
    <w:rsid w:val="00D1315D"/>
    <w:rsid w:val="00D13F48"/>
    <w:rsid w:val="00D22F2F"/>
    <w:rsid w:val="00D23094"/>
    <w:rsid w:val="00D23DAB"/>
    <w:rsid w:val="00D326E4"/>
    <w:rsid w:val="00D327FB"/>
    <w:rsid w:val="00D35391"/>
    <w:rsid w:val="00D36EBA"/>
    <w:rsid w:val="00D47B7B"/>
    <w:rsid w:val="00D50EE8"/>
    <w:rsid w:val="00D51C74"/>
    <w:rsid w:val="00D5554F"/>
    <w:rsid w:val="00D562AC"/>
    <w:rsid w:val="00D61AB0"/>
    <w:rsid w:val="00D63554"/>
    <w:rsid w:val="00D70570"/>
    <w:rsid w:val="00D77B82"/>
    <w:rsid w:val="00D80406"/>
    <w:rsid w:val="00D821F8"/>
    <w:rsid w:val="00D86426"/>
    <w:rsid w:val="00D87E19"/>
    <w:rsid w:val="00DA6FF0"/>
    <w:rsid w:val="00DB2C91"/>
    <w:rsid w:val="00DB3273"/>
    <w:rsid w:val="00DB5A74"/>
    <w:rsid w:val="00DB5BD0"/>
    <w:rsid w:val="00DC22F0"/>
    <w:rsid w:val="00DC2789"/>
    <w:rsid w:val="00DC50EA"/>
    <w:rsid w:val="00DC7C9D"/>
    <w:rsid w:val="00DD0A1C"/>
    <w:rsid w:val="00DD2B83"/>
    <w:rsid w:val="00DD7B4B"/>
    <w:rsid w:val="00DF1B86"/>
    <w:rsid w:val="00DF25E8"/>
    <w:rsid w:val="00DF35BC"/>
    <w:rsid w:val="00DF4C98"/>
    <w:rsid w:val="00DF4D1C"/>
    <w:rsid w:val="00E016F1"/>
    <w:rsid w:val="00E027EC"/>
    <w:rsid w:val="00E0569C"/>
    <w:rsid w:val="00E056BB"/>
    <w:rsid w:val="00E12978"/>
    <w:rsid w:val="00E13395"/>
    <w:rsid w:val="00E1721D"/>
    <w:rsid w:val="00E23DD5"/>
    <w:rsid w:val="00E252E3"/>
    <w:rsid w:val="00E2750A"/>
    <w:rsid w:val="00E32034"/>
    <w:rsid w:val="00E32724"/>
    <w:rsid w:val="00E33DAE"/>
    <w:rsid w:val="00E364A7"/>
    <w:rsid w:val="00E4063B"/>
    <w:rsid w:val="00E5180C"/>
    <w:rsid w:val="00E51EED"/>
    <w:rsid w:val="00E52ECF"/>
    <w:rsid w:val="00E5433C"/>
    <w:rsid w:val="00E54F51"/>
    <w:rsid w:val="00E560CC"/>
    <w:rsid w:val="00E57AFB"/>
    <w:rsid w:val="00E609CF"/>
    <w:rsid w:val="00E61891"/>
    <w:rsid w:val="00E61E36"/>
    <w:rsid w:val="00E63462"/>
    <w:rsid w:val="00E65418"/>
    <w:rsid w:val="00E67C19"/>
    <w:rsid w:val="00E720EF"/>
    <w:rsid w:val="00E752D5"/>
    <w:rsid w:val="00E75B32"/>
    <w:rsid w:val="00E80F73"/>
    <w:rsid w:val="00E83E76"/>
    <w:rsid w:val="00E84A7D"/>
    <w:rsid w:val="00E851BD"/>
    <w:rsid w:val="00E92A39"/>
    <w:rsid w:val="00E968C0"/>
    <w:rsid w:val="00EB3AF9"/>
    <w:rsid w:val="00EC3A99"/>
    <w:rsid w:val="00ED4F97"/>
    <w:rsid w:val="00ED65E2"/>
    <w:rsid w:val="00EE42A6"/>
    <w:rsid w:val="00EF1FFD"/>
    <w:rsid w:val="00EF37AB"/>
    <w:rsid w:val="00F011E8"/>
    <w:rsid w:val="00F029E4"/>
    <w:rsid w:val="00F04046"/>
    <w:rsid w:val="00F07020"/>
    <w:rsid w:val="00F0741C"/>
    <w:rsid w:val="00F1199F"/>
    <w:rsid w:val="00F13477"/>
    <w:rsid w:val="00F26ED8"/>
    <w:rsid w:val="00F310ED"/>
    <w:rsid w:val="00F33163"/>
    <w:rsid w:val="00F3504F"/>
    <w:rsid w:val="00F45952"/>
    <w:rsid w:val="00F459E7"/>
    <w:rsid w:val="00F47374"/>
    <w:rsid w:val="00F50C0B"/>
    <w:rsid w:val="00F541A5"/>
    <w:rsid w:val="00F60490"/>
    <w:rsid w:val="00F61534"/>
    <w:rsid w:val="00F64A49"/>
    <w:rsid w:val="00F66E5E"/>
    <w:rsid w:val="00F72532"/>
    <w:rsid w:val="00F726A9"/>
    <w:rsid w:val="00F812CE"/>
    <w:rsid w:val="00F81C3B"/>
    <w:rsid w:val="00F822E2"/>
    <w:rsid w:val="00F8756D"/>
    <w:rsid w:val="00F91B4F"/>
    <w:rsid w:val="00F9305F"/>
    <w:rsid w:val="00F938F3"/>
    <w:rsid w:val="00F9433E"/>
    <w:rsid w:val="00F95139"/>
    <w:rsid w:val="00FA07B5"/>
    <w:rsid w:val="00FA37B8"/>
    <w:rsid w:val="00FA57AB"/>
    <w:rsid w:val="00FA7BE1"/>
    <w:rsid w:val="00FB0CCD"/>
    <w:rsid w:val="00FB4DDD"/>
    <w:rsid w:val="00FC5D70"/>
    <w:rsid w:val="00FC7C00"/>
    <w:rsid w:val="00FD03BD"/>
    <w:rsid w:val="00FD09BC"/>
    <w:rsid w:val="00FD42C9"/>
    <w:rsid w:val="00FD4587"/>
    <w:rsid w:val="00FD6228"/>
    <w:rsid w:val="00FE1541"/>
    <w:rsid w:val="00FE211C"/>
    <w:rsid w:val="00FF185B"/>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8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hr-HR" w:eastAsia="hr-HR"/>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hr-HR" w:eastAsia="hr-HR"/>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hr-HR" w:eastAsia="hr-HR"/>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hr-HR"/>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hr-HR"/>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hr-HR" w:eastAsia="hr-HR"/>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hr-HR"/>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hr-HR"/>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hr-HR" w:eastAsia="hr-HR"/>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hr-HR" w:eastAsia="hr-HR"/>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hr-HR" w:eastAsia="hr-HR"/>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hr-HR"/>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hr-HR"/>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hr-HR" w:eastAsia="hr-HR"/>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hr-HR"/>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hr-HR"/>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48">
      <w:bodyDiv w:val="1"/>
      <w:marLeft w:val="0"/>
      <w:marRight w:val="0"/>
      <w:marTop w:val="0"/>
      <w:marBottom w:val="0"/>
      <w:divBdr>
        <w:top w:val="none" w:sz="0" w:space="0" w:color="auto"/>
        <w:left w:val="none" w:sz="0" w:space="0" w:color="auto"/>
        <w:bottom w:val="none" w:sz="0" w:space="0" w:color="auto"/>
        <w:right w:val="none" w:sz="0" w:space="0" w:color="auto"/>
      </w:divBdr>
    </w:div>
    <w:div w:id="404449830">
      <w:bodyDiv w:val="1"/>
      <w:marLeft w:val="0"/>
      <w:marRight w:val="0"/>
      <w:marTop w:val="0"/>
      <w:marBottom w:val="0"/>
      <w:divBdr>
        <w:top w:val="none" w:sz="0" w:space="0" w:color="auto"/>
        <w:left w:val="none" w:sz="0" w:space="0" w:color="auto"/>
        <w:bottom w:val="none" w:sz="0" w:space="0" w:color="auto"/>
        <w:right w:val="none" w:sz="0" w:space="0" w:color="auto"/>
      </w:divBdr>
    </w:div>
    <w:div w:id="447243958">
      <w:bodyDiv w:val="1"/>
      <w:marLeft w:val="0"/>
      <w:marRight w:val="0"/>
      <w:marTop w:val="0"/>
      <w:marBottom w:val="0"/>
      <w:divBdr>
        <w:top w:val="none" w:sz="0" w:space="0" w:color="auto"/>
        <w:left w:val="none" w:sz="0" w:space="0" w:color="auto"/>
        <w:bottom w:val="none" w:sz="0" w:space="0" w:color="auto"/>
        <w:right w:val="none" w:sz="0" w:space="0" w:color="auto"/>
      </w:divBdr>
    </w:div>
    <w:div w:id="670255942">
      <w:bodyDiv w:val="1"/>
      <w:marLeft w:val="0"/>
      <w:marRight w:val="0"/>
      <w:marTop w:val="0"/>
      <w:marBottom w:val="0"/>
      <w:divBdr>
        <w:top w:val="none" w:sz="0" w:space="0" w:color="auto"/>
        <w:left w:val="none" w:sz="0" w:space="0" w:color="auto"/>
        <w:bottom w:val="none" w:sz="0" w:space="0" w:color="auto"/>
        <w:right w:val="none" w:sz="0" w:space="0" w:color="auto"/>
      </w:divBdr>
    </w:div>
    <w:div w:id="742525200">
      <w:bodyDiv w:val="1"/>
      <w:marLeft w:val="0"/>
      <w:marRight w:val="0"/>
      <w:marTop w:val="0"/>
      <w:marBottom w:val="0"/>
      <w:divBdr>
        <w:top w:val="none" w:sz="0" w:space="0" w:color="auto"/>
        <w:left w:val="none" w:sz="0" w:space="0" w:color="auto"/>
        <w:bottom w:val="none" w:sz="0" w:space="0" w:color="auto"/>
        <w:right w:val="none" w:sz="0" w:space="0" w:color="auto"/>
      </w:divBdr>
    </w:div>
    <w:div w:id="847334049">
      <w:bodyDiv w:val="1"/>
      <w:marLeft w:val="0"/>
      <w:marRight w:val="0"/>
      <w:marTop w:val="0"/>
      <w:marBottom w:val="0"/>
      <w:divBdr>
        <w:top w:val="none" w:sz="0" w:space="0" w:color="auto"/>
        <w:left w:val="none" w:sz="0" w:space="0" w:color="auto"/>
        <w:bottom w:val="none" w:sz="0" w:space="0" w:color="auto"/>
        <w:right w:val="none" w:sz="0" w:space="0" w:color="auto"/>
      </w:divBdr>
    </w:div>
    <w:div w:id="1036663590">
      <w:bodyDiv w:val="1"/>
      <w:marLeft w:val="0"/>
      <w:marRight w:val="0"/>
      <w:marTop w:val="0"/>
      <w:marBottom w:val="0"/>
      <w:divBdr>
        <w:top w:val="none" w:sz="0" w:space="0" w:color="auto"/>
        <w:left w:val="none" w:sz="0" w:space="0" w:color="auto"/>
        <w:bottom w:val="none" w:sz="0" w:space="0" w:color="auto"/>
        <w:right w:val="none" w:sz="0" w:space="0" w:color="auto"/>
      </w:divBdr>
      <w:divsChild>
        <w:div w:id="390081541">
          <w:marLeft w:val="0"/>
          <w:marRight w:val="0"/>
          <w:marTop w:val="0"/>
          <w:marBottom w:val="0"/>
          <w:divBdr>
            <w:top w:val="none" w:sz="0" w:space="0" w:color="auto"/>
            <w:left w:val="none" w:sz="0" w:space="0" w:color="auto"/>
            <w:bottom w:val="none" w:sz="0" w:space="0" w:color="auto"/>
            <w:right w:val="none" w:sz="0" w:space="0" w:color="auto"/>
          </w:divBdr>
        </w:div>
        <w:div w:id="5301931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sChild>
    </w:div>
    <w:div w:id="1117067527">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325088458">
      <w:bodyDiv w:val="1"/>
      <w:marLeft w:val="0"/>
      <w:marRight w:val="0"/>
      <w:marTop w:val="0"/>
      <w:marBottom w:val="0"/>
      <w:divBdr>
        <w:top w:val="none" w:sz="0" w:space="0" w:color="auto"/>
        <w:left w:val="none" w:sz="0" w:space="0" w:color="auto"/>
        <w:bottom w:val="none" w:sz="0" w:space="0" w:color="auto"/>
        <w:right w:val="none" w:sz="0" w:space="0" w:color="auto"/>
      </w:divBdr>
    </w:div>
    <w:div w:id="1459303521">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6">
          <w:marLeft w:val="0"/>
          <w:marRight w:val="0"/>
          <w:marTop w:val="0"/>
          <w:marBottom w:val="0"/>
          <w:divBdr>
            <w:top w:val="none" w:sz="0" w:space="0" w:color="auto"/>
            <w:left w:val="none" w:sz="0" w:space="0" w:color="auto"/>
            <w:bottom w:val="none" w:sz="0" w:space="0" w:color="auto"/>
            <w:right w:val="none" w:sz="0" w:space="0" w:color="auto"/>
          </w:divBdr>
        </w:div>
        <w:div w:id="1385178050">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1589384768">
      <w:bodyDiv w:val="1"/>
      <w:marLeft w:val="0"/>
      <w:marRight w:val="0"/>
      <w:marTop w:val="0"/>
      <w:marBottom w:val="0"/>
      <w:divBdr>
        <w:top w:val="none" w:sz="0" w:space="0" w:color="auto"/>
        <w:left w:val="none" w:sz="0" w:space="0" w:color="auto"/>
        <w:bottom w:val="none" w:sz="0" w:space="0" w:color="auto"/>
        <w:right w:val="none" w:sz="0" w:space="0" w:color="auto"/>
      </w:divBdr>
    </w:div>
    <w:div w:id="1634485684">
      <w:bodyDiv w:val="1"/>
      <w:marLeft w:val="0"/>
      <w:marRight w:val="0"/>
      <w:marTop w:val="0"/>
      <w:marBottom w:val="0"/>
      <w:divBdr>
        <w:top w:val="none" w:sz="0" w:space="0" w:color="auto"/>
        <w:left w:val="none" w:sz="0" w:space="0" w:color="auto"/>
        <w:bottom w:val="none" w:sz="0" w:space="0" w:color="auto"/>
        <w:right w:val="none" w:sz="0" w:space="0" w:color="auto"/>
      </w:divBdr>
    </w:div>
    <w:div w:id="1751847561">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88950696">
      <w:bodyDiv w:val="1"/>
      <w:marLeft w:val="0"/>
      <w:marRight w:val="0"/>
      <w:marTop w:val="0"/>
      <w:marBottom w:val="0"/>
      <w:divBdr>
        <w:top w:val="none" w:sz="0" w:space="0" w:color="auto"/>
        <w:left w:val="none" w:sz="0" w:space="0" w:color="auto"/>
        <w:bottom w:val="none" w:sz="0" w:space="0" w:color="auto"/>
        <w:right w:val="none" w:sz="0" w:space="0" w:color="auto"/>
      </w:divBdr>
    </w:div>
    <w:div w:id="2061711366">
      <w:bodyDiv w:val="1"/>
      <w:marLeft w:val="75"/>
      <w:marRight w:val="0"/>
      <w:marTop w:val="0"/>
      <w:marBottom w:val="0"/>
      <w:divBdr>
        <w:top w:val="none" w:sz="0" w:space="0" w:color="auto"/>
        <w:left w:val="none" w:sz="0" w:space="0" w:color="auto"/>
        <w:bottom w:val="none" w:sz="0" w:space="0" w:color="auto"/>
        <w:right w:val="none" w:sz="0" w:space="0" w:color="auto"/>
      </w:divBdr>
      <w:divsChild>
        <w:div w:id="479882384">
          <w:marLeft w:val="0"/>
          <w:marRight w:val="0"/>
          <w:marTop w:val="0"/>
          <w:marBottom w:val="0"/>
          <w:divBdr>
            <w:top w:val="none" w:sz="0" w:space="0" w:color="auto"/>
            <w:left w:val="none" w:sz="0" w:space="0" w:color="auto"/>
            <w:bottom w:val="none" w:sz="0" w:space="0" w:color="auto"/>
            <w:right w:val="none" w:sz="0" w:space="0" w:color="auto"/>
          </w:divBdr>
        </w:div>
        <w:div w:id="784815775">
          <w:marLeft w:val="0"/>
          <w:marRight w:val="0"/>
          <w:marTop w:val="0"/>
          <w:marBottom w:val="0"/>
          <w:divBdr>
            <w:top w:val="none" w:sz="0" w:space="0" w:color="auto"/>
            <w:left w:val="none" w:sz="0" w:space="0" w:color="auto"/>
            <w:bottom w:val="none" w:sz="0" w:space="0" w:color="auto"/>
            <w:right w:val="none" w:sz="0" w:space="0" w:color="auto"/>
          </w:divBdr>
        </w:div>
        <w:div w:id="1080326056">
          <w:marLeft w:val="0"/>
          <w:marRight w:val="0"/>
          <w:marTop w:val="0"/>
          <w:marBottom w:val="0"/>
          <w:divBdr>
            <w:top w:val="none" w:sz="0" w:space="0" w:color="auto"/>
            <w:left w:val="none" w:sz="0" w:space="0" w:color="auto"/>
            <w:bottom w:val="none" w:sz="0" w:space="0" w:color="auto"/>
            <w:right w:val="none" w:sz="0" w:space="0" w:color="auto"/>
          </w:divBdr>
        </w:div>
        <w:div w:id="183772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b@ebb-eu.org"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fisc.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fo@efisc.eu" TargetMode="External"/><Relationship Id="rId23" Type="http://schemas.openxmlformats.org/officeDocument/2006/relationships/hyperlink" Target="http://www.icrt-idtf.com/en/index.php" TargetMode="External"/><Relationship Id="rId10" Type="http://schemas.openxmlformats.org/officeDocument/2006/relationships/hyperlink" Target="http://www.starch.eu/" TargetMode="External"/><Relationship Id="rId19" Type="http://schemas.openxmlformats.org/officeDocument/2006/relationships/hyperlink" Target="http://www.hse.gov.uk/foi/internalops/hid_circs/enforcement/spc_enf_137/index.htm"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C:\Documents%20and%20Settings\PB\Local%20Settings\Temp\www.ebb-eu.org"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342020514Sector%20document%20oilseed%20and%20proteinmeal%20industry_version-2-2-1_16-02-11%20update%20hyperlinks%209_7.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3030-99E3-48F6-A164-93A09271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4444</Words>
  <Characters>32504</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36875</CharactersWithSpaces>
  <SharedDoc>false</SharedDoc>
  <HLinks>
    <vt:vector size="186" baseType="variant">
      <vt:variant>
        <vt:i4>1441887</vt:i4>
      </vt:variant>
      <vt:variant>
        <vt:i4>141</vt:i4>
      </vt:variant>
      <vt:variant>
        <vt:i4>0</vt:i4>
      </vt:variant>
      <vt:variant>
        <vt:i4>5</vt:i4>
      </vt:variant>
      <vt:variant>
        <vt:lpwstr>http://www.icrt-idtf.com/en/index.php</vt:lpwstr>
      </vt:variant>
      <vt:variant>
        <vt:lpwstr/>
      </vt:variant>
      <vt:variant>
        <vt:i4>1441887</vt:i4>
      </vt:variant>
      <vt:variant>
        <vt:i4>138</vt:i4>
      </vt:variant>
      <vt:variant>
        <vt:i4>0</vt:i4>
      </vt:variant>
      <vt:variant>
        <vt:i4>5</vt:i4>
      </vt:variant>
      <vt:variant>
        <vt:lpwstr>http://www.icrt-idtf.com/en/index.php</vt:lpwstr>
      </vt:variant>
      <vt:variant>
        <vt:lpwstr/>
      </vt:variant>
      <vt:variant>
        <vt:i4>8126543</vt:i4>
      </vt:variant>
      <vt:variant>
        <vt:i4>135</vt:i4>
      </vt:variant>
      <vt:variant>
        <vt:i4>0</vt:i4>
      </vt:variant>
      <vt:variant>
        <vt:i4>5</vt:i4>
      </vt:variant>
      <vt:variant>
        <vt:lpwstr>http://www.hse.gov.uk/foi/internalops/hid_circs/enforcement/spc_enf_137/index.htm</vt:lpwstr>
      </vt:variant>
      <vt:variant>
        <vt:lpwstr>appendix1</vt:lpwstr>
      </vt:variant>
      <vt:variant>
        <vt:i4>1310773</vt:i4>
      </vt:variant>
      <vt:variant>
        <vt:i4>128</vt:i4>
      </vt:variant>
      <vt:variant>
        <vt:i4>0</vt:i4>
      </vt:variant>
      <vt:variant>
        <vt:i4>5</vt:i4>
      </vt:variant>
      <vt:variant>
        <vt:lpwstr/>
      </vt:variant>
      <vt:variant>
        <vt:lpwstr>_Toc350504677</vt:lpwstr>
      </vt:variant>
      <vt:variant>
        <vt:i4>1376309</vt:i4>
      </vt:variant>
      <vt:variant>
        <vt:i4>122</vt:i4>
      </vt:variant>
      <vt:variant>
        <vt:i4>0</vt:i4>
      </vt:variant>
      <vt:variant>
        <vt:i4>5</vt:i4>
      </vt:variant>
      <vt:variant>
        <vt:lpwstr/>
      </vt:variant>
      <vt:variant>
        <vt:lpwstr>_Toc350504668</vt:lpwstr>
      </vt:variant>
      <vt:variant>
        <vt:i4>1376309</vt:i4>
      </vt:variant>
      <vt:variant>
        <vt:i4>116</vt:i4>
      </vt:variant>
      <vt:variant>
        <vt:i4>0</vt:i4>
      </vt:variant>
      <vt:variant>
        <vt:i4>5</vt:i4>
      </vt:variant>
      <vt:variant>
        <vt:lpwstr/>
      </vt:variant>
      <vt:variant>
        <vt:lpwstr>_Toc350504667</vt:lpwstr>
      </vt:variant>
      <vt:variant>
        <vt:i4>1376309</vt:i4>
      </vt:variant>
      <vt:variant>
        <vt:i4>110</vt:i4>
      </vt:variant>
      <vt:variant>
        <vt:i4>0</vt:i4>
      </vt:variant>
      <vt:variant>
        <vt:i4>5</vt:i4>
      </vt:variant>
      <vt:variant>
        <vt:lpwstr/>
      </vt:variant>
      <vt:variant>
        <vt:lpwstr>_Toc350504666</vt:lpwstr>
      </vt:variant>
      <vt:variant>
        <vt:i4>1376309</vt:i4>
      </vt:variant>
      <vt:variant>
        <vt:i4>104</vt:i4>
      </vt:variant>
      <vt:variant>
        <vt:i4>0</vt:i4>
      </vt:variant>
      <vt:variant>
        <vt:i4>5</vt:i4>
      </vt:variant>
      <vt:variant>
        <vt:lpwstr/>
      </vt:variant>
      <vt:variant>
        <vt:lpwstr>_Toc350504665</vt:lpwstr>
      </vt:variant>
      <vt:variant>
        <vt:i4>1376309</vt:i4>
      </vt:variant>
      <vt:variant>
        <vt:i4>98</vt:i4>
      </vt:variant>
      <vt:variant>
        <vt:i4>0</vt:i4>
      </vt:variant>
      <vt:variant>
        <vt:i4>5</vt:i4>
      </vt:variant>
      <vt:variant>
        <vt:lpwstr/>
      </vt:variant>
      <vt:variant>
        <vt:lpwstr>_Toc350504664</vt:lpwstr>
      </vt:variant>
      <vt:variant>
        <vt:i4>1376309</vt:i4>
      </vt:variant>
      <vt:variant>
        <vt:i4>92</vt:i4>
      </vt:variant>
      <vt:variant>
        <vt:i4>0</vt:i4>
      </vt:variant>
      <vt:variant>
        <vt:i4>5</vt:i4>
      </vt:variant>
      <vt:variant>
        <vt:lpwstr/>
      </vt:variant>
      <vt:variant>
        <vt:lpwstr>_Toc350504663</vt:lpwstr>
      </vt:variant>
      <vt:variant>
        <vt:i4>1376309</vt:i4>
      </vt:variant>
      <vt:variant>
        <vt:i4>86</vt:i4>
      </vt:variant>
      <vt:variant>
        <vt:i4>0</vt:i4>
      </vt:variant>
      <vt:variant>
        <vt:i4>5</vt:i4>
      </vt:variant>
      <vt:variant>
        <vt:lpwstr/>
      </vt:variant>
      <vt:variant>
        <vt:lpwstr>_Toc350504662</vt:lpwstr>
      </vt:variant>
      <vt:variant>
        <vt:i4>1376309</vt:i4>
      </vt:variant>
      <vt:variant>
        <vt:i4>80</vt:i4>
      </vt:variant>
      <vt:variant>
        <vt:i4>0</vt:i4>
      </vt:variant>
      <vt:variant>
        <vt:i4>5</vt:i4>
      </vt:variant>
      <vt:variant>
        <vt:lpwstr/>
      </vt:variant>
      <vt:variant>
        <vt:lpwstr>_Toc350504661</vt:lpwstr>
      </vt:variant>
      <vt:variant>
        <vt:i4>1376309</vt:i4>
      </vt:variant>
      <vt:variant>
        <vt:i4>74</vt:i4>
      </vt:variant>
      <vt:variant>
        <vt:i4>0</vt:i4>
      </vt:variant>
      <vt:variant>
        <vt:i4>5</vt:i4>
      </vt:variant>
      <vt:variant>
        <vt:lpwstr/>
      </vt:variant>
      <vt:variant>
        <vt:lpwstr>_Toc350504660</vt:lpwstr>
      </vt:variant>
      <vt:variant>
        <vt:i4>1441845</vt:i4>
      </vt:variant>
      <vt:variant>
        <vt:i4>68</vt:i4>
      </vt:variant>
      <vt:variant>
        <vt:i4>0</vt:i4>
      </vt:variant>
      <vt:variant>
        <vt:i4>5</vt:i4>
      </vt:variant>
      <vt:variant>
        <vt:lpwstr/>
      </vt:variant>
      <vt:variant>
        <vt:lpwstr>_Toc350504659</vt:lpwstr>
      </vt:variant>
      <vt:variant>
        <vt:i4>1441845</vt:i4>
      </vt:variant>
      <vt:variant>
        <vt:i4>62</vt:i4>
      </vt:variant>
      <vt:variant>
        <vt:i4>0</vt:i4>
      </vt:variant>
      <vt:variant>
        <vt:i4>5</vt:i4>
      </vt:variant>
      <vt:variant>
        <vt:lpwstr/>
      </vt:variant>
      <vt:variant>
        <vt:lpwstr>_Toc350504658</vt:lpwstr>
      </vt:variant>
      <vt:variant>
        <vt:i4>1441845</vt:i4>
      </vt:variant>
      <vt:variant>
        <vt:i4>56</vt:i4>
      </vt:variant>
      <vt:variant>
        <vt:i4>0</vt:i4>
      </vt:variant>
      <vt:variant>
        <vt:i4>5</vt:i4>
      </vt:variant>
      <vt:variant>
        <vt:lpwstr/>
      </vt:variant>
      <vt:variant>
        <vt:lpwstr>_Toc350504657</vt:lpwstr>
      </vt:variant>
      <vt:variant>
        <vt:i4>1441845</vt:i4>
      </vt:variant>
      <vt:variant>
        <vt:i4>50</vt:i4>
      </vt:variant>
      <vt:variant>
        <vt:i4>0</vt:i4>
      </vt:variant>
      <vt:variant>
        <vt:i4>5</vt:i4>
      </vt:variant>
      <vt:variant>
        <vt:lpwstr/>
      </vt:variant>
      <vt:variant>
        <vt:lpwstr>_Toc350504656</vt:lpwstr>
      </vt:variant>
      <vt:variant>
        <vt:i4>1441845</vt:i4>
      </vt:variant>
      <vt:variant>
        <vt:i4>44</vt:i4>
      </vt:variant>
      <vt:variant>
        <vt:i4>0</vt:i4>
      </vt:variant>
      <vt:variant>
        <vt:i4>5</vt:i4>
      </vt:variant>
      <vt:variant>
        <vt:lpwstr/>
      </vt:variant>
      <vt:variant>
        <vt:lpwstr>_Toc350504655</vt:lpwstr>
      </vt:variant>
      <vt:variant>
        <vt:i4>1441845</vt:i4>
      </vt:variant>
      <vt:variant>
        <vt:i4>38</vt:i4>
      </vt:variant>
      <vt:variant>
        <vt:i4>0</vt:i4>
      </vt:variant>
      <vt:variant>
        <vt:i4>5</vt:i4>
      </vt:variant>
      <vt:variant>
        <vt:lpwstr/>
      </vt:variant>
      <vt:variant>
        <vt:lpwstr>_Toc350504654</vt:lpwstr>
      </vt:variant>
      <vt:variant>
        <vt:i4>1441845</vt:i4>
      </vt:variant>
      <vt:variant>
        <vt:i4>32</vt:i4>
      </vt:variant>
      <vt:variant>
        <vt:i4>0</vt:i4>
      </vt:variant>
      <vt:variant>
        <vt:i4>5</vt:i4>
      </vt:variant>
      <vt:variant>
        <vt:lpwstr/>
      </vt:variant>
      <vt:variant>
        <vt:lpwstr>_Toc350504653</vt:lpwstr>
      </vt:variant>
      <vt:variant>
        <vt:i4>1441845</vt:i4>
      </vt:variant>
      <vt:variant>
        <vt:i4>26</vt:i4>
      </vt:variant>
      <vt:variant>
        <vt:i4>0</vt:i4>
      </vt:variant>
      <vt:variant>
        <vt:i4>5</vt:i4>
      </vt:variant>
      <vt:variant>
        <vt:lpwstr/>
      </vt:variant>
      <vt:variant>
        <vt:lpwstr>_Toc350504652</vt:lpwstr>
      </vt:variant>
      <vt:variant>
        <vt:i4>917534</vt:i4>
      </vt:variant>
      <vt:variant>
        <vt:i4>21</vt:i4>
      </vt:variant>
      <vt:variant>
        <vt:i4>0</vt:i4>
      </vt:variant>
      <vt:variant>
        <vt:i4>5</vt:i4>
      </vt:variant>
      <vt:variant>
        <vt:lpwstr>http://www.efisc.eu/</vt:lpwstr>
      </vt:variant>
      <vt:variant>
        <vt:lpwstr/>
      </vt:variant>
      <vt:variant>
        <vt:i4>6488129</vt:i4>
      </vt:variant>
      <vt:variant>
        <vt:i4>18</vt:i4>
      </vt:variant>
      <vt:variant>
        <vt:i4>0</vt:i4>
      </vt:variant>
      <vt:variant>
        <vt:i4>5</vt:i4>
      </vt:variant>
      <vt:variant>
        <vt:lpwstr>mailto:info@efisc.eu</vt:lpwstr>
      </vt:variant>
      <vt:variant>
        <vt:lpwstr/>
      </vt:variant>
      <vt:variant>
        <vt:i4>4194329</vt:i4>
      </vt:variant>
      <vt:variant>
        <vt:i4>15</vt:i4>
      </vt:variant>
      <vt:variant>
        <vt:i4>0</vt:i4>
      </vt:variant>
      <vt:variant>
        <vt:i4>5</vt:i4>
      </vt:variant>
      <vt:variant>
        <vt:lpwstr>../Local Settings/Temp/www.ebb-eu.org</vt:lpwstr>
      </vt:variant>
      <vt:variant>
        <vt:lpwstr/>
      </vt:variant>
      <vt:variant>
        <vt:i4>5963837</vt:i4>
      </vt:variant>
      <vt:variant>
        <vt:i4>12</vt:i4>
      </vt:variant>
      <vt:variant>
        <vt:i4>0</vt:i4>
      </vt:variant>
      <vt:variant>
        <vt:i4>5</vt:i4>
      </vt:variant>
      <vt:variant>
        <vt:lpwstr>mailto:ebb@ebb-eu.org</vt:lpwstr>
      </vt:variant>
      <vt:variant>
        <vt:lpwstr/>
      </vt:variant>
      <vt:variant>
        <vt:i4>3801186</vt:i4>
      </vt:variant>
      <vt:variant>
        <vt:i4>6</vt:i4>
      </vt:variant>
      <vt:variant>
        <vt:i4>0</vt:i4>
      </vt:variant>
      <vt:variant>
        <vt:i4>5</vt:i4>
      </vt:variant>
      <vt:variant>
        <vt:lpwstr>http://www.ebb-eu.org/</vt:lpwstr>
      </vt:variant>
      <vt:variant>
        <vt:lpwstr/>
      </vt:variant>
      <vt:variant>
        <vt:i4>1900629</vt:i4>
      </vt:variant>
      <vt:variant>
        <vt:i4>3</vt:i4>
      </vt:variant>
      <vt:variant>
        <vt:i4>0</vt:i4>
      </vt:variant>
      <vt:variant>
        <vt:i4>5</vt:i4>
      </vt:variant>
      <vt:variant>
        <vt:lpwstr>http://www.fediol.eu/</vt:lpwstr>
      </vt:variant>
      <vt:variant>
        <vt:lpwstr/>
      </vt:variant>
      <vt:variant>
        <vt:i4>3801185</vt:i4>
      </vt:variant>
      <vt:variant>
        <vt:i4>0</vt:i4>
      </vt:variant>
      <vt:variant>
        <vt:i4>0</vt:i4>
      </vt:variant>
      <vt:variant>
        <vt:i4>5</vt:i4>
      </vt:variant>
      <vt:variant>
        <vt:lpwstr>http://www.aaf-eu.org/</vt:lpwstr>
      </vt:variant>
      <vt:variant>
        <vt:lpwstr/>
      </vt:variant>
      <vt:variant>
        <vt:i4>393268</vt:i4>
      </vt:variant>
      <vt:variant>
        <vt:i4>0</vt:i4>
      </vt:variant>
      <vt:variant>
        <vt:i4>0</vt:i4>
      </vt:variant>
      <vt:variant>
        <vt:i4>5</vt:i4>
      </vt:variant>
      <vt:variant>
        <vt:lpwstr>http://www.efisc.eu/data/1342020514Sector document oilseed and proteinmeal industry_version-2-2-1_16-02-11 update hyperlinks 9_7.pdf</vt:lpwstr>
      </vt:variant>
      <vt:variant>
        <vt:lpwstr/>
      </vt:variant>
      <vt:variant>
        <vt:i4>7667816</vt:i4>
      </vt:variant>
      <vt:variant>
        <vt:i4>3</vt:i4>
      </vt:variant>
      <vt:variant>
        <vt:i4>0</vt:i4>
      </vt:variant>
      <vt:variant>
        <vt:i4>5</vt:i4>
      </vt:variant>
      <vt:variant>
        <vt:lpwstr/>
      </vt:variant>
      <vt:variant>
        <vt:lpwstr>Content</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2015-12-17T10:55:00Z</dcterms:created>
  <dcterms:modified xsi:type="dcterms:W3CDTF">2015-12-17T13:41:00Z</dcterms:modified>
</cp:coreProperties>
</file>