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EC" w:rsidRPr="0075432F" w:rsidRDefault="00DC7DEC" w:rsidP="00DC7DEC">
      <w:pPr>
        <w:pStyle w:val="BodyText3"/>
        <w:jc w:val="right"/>
        <w:rPr>
          <w:rFonts w:ascii="Verdana" w:hAnsi="Verdana"/>
          <w:sz w:val="28"/>
          <w:szCs w:val="28"/>
        </w:rPr>
      </w:pPr>
      <w:r w:rsidRPr="0075432F">
        <w:rPr>
          <w:rFonts w:ascii="Verdana" w:hAnsi="Verdana"/>
          <w:noProof/>
          <w:lang w:val="en-GB" w:eastAsia="en-GB" w:bidi="ar-SA"/>
        </w:rPr>
        <w:drawing>
          <wp:inline distT="0" distB="0" distL="0" distR="0" wp14:anchorId="2EEFA45D" wp14:editId="3A814845">
            <wp:extent cx="10191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rsidR="00DC7DEC" w:rsidRPr="0075432F" w:rsidRDefault="00DC7DEC" w:rsidP="00DC7DEC">
      <w:pPr>
        <w:pStyle w:val="BodyText3"/>
        <w:jc w:val="both"/>
        <w:rPr>
          <w:rFonts w:ascii="Verdana" w:hAnsi="Verdana"/>
          <w:sz w:val="28"/>
          <w:szCs w:val="28"/>
        </w:rPr>
      </w:pPr>
    </w:p>
    <w:p w:rsidR="00DC7DEC" w:rsidRPr="0075432F" w:rsidRDefault="00DC7DEC" w:rsidP="00DC7DEC">
      <w:pPr>
        <w:pStyle w:val="BodyText3"/>
        <w:jc w:val="both"/>
        <w:rPr>
          <w:rFonts w:ascii="Verdana" w:hAnsi="Verdana"/>
          <w:sz w:val="28"/>
          <w:szCs w:val="28"/>
        </w:rPr>
      </w:pPr>
    </w:p>
    <w:p w:rsidR="00DC7DEC" w:rsidRPr="0075432F" w:rsidRDefault="00DC7DEC" w:rsidP="00DC7DEC">
      <w:pPr>
        <w:pStyle w:val="BodyText3"/>
        <w:jc w:val="both"/>
        <w:rPr>
          <w:rFonts w:ascii="Verdana" w:hAnsi="Verdana"/>
          <w:sz w:val="28"/>
          <w:szCs w:val="28"/>
        </w:rPr>
      </w:pPr>
    </w:p>
    <w:p w:rsidR="00DC7DEC" w:rsidRPr="0075432F" w:rsidRDefault="00DC7DEC" w:rsidP="00DC7DEC">
      <w:pPr>
        <w:pStyle w:val="BodyText3"/>
        <w:jc w:val="both"/>
        <w:rPr>
          <w:rFonts w:ascii="Verdana" w:hAnsi="Verdana"/>
          <w:sz w:val="28"/>
          <w:szCs w:val="28"/>
        </w:rPr>
      </w:pPr>
    </w:p>
    <w:p w:rsidR="00DC7DEC" w:rsidRPr="0075432F" w:rsidRDefault="00DC7DEC" w:rsidP="00DC7DEC">
      <w:pPr>
        <w:pStyle w:val="BodyText3"/>
        <w:rPr>
          <w:rFonts w:ascii="Verdana" w:hAnsi="Verdana"/>
          <w:color w:val="1F497D"/>
          <w:sz w:val="28"/>
          <w:szCs w:val="28"/>
        </w:rPr>
      </w:pPr>
      <w:r w:rsidRPr="0075432F">
        <w:rPr>
          <w:rFonts w:ascii="Verdana" w:hAnsi="Verdana"/>
          <w:color w:val="1F497D"/>
          <w:sz w:val="28"/>
          <w:szCs w:val="28"/>
        </w:rPr>
        <w:t xml:space="preserve">Eiropas labas prakses rokasgrāmata </w:t>
      </w:r>
      <w:r w:rsidR="00B91000">
        <w:rPr>
          <w:rFonts w:ascii="Verdana" w:hAnsi="Verdana"/>
          <w:color w:val="1F497D"/>
          <w:sz w:val="28"/>
          <w:szCs w:val="28"/>
        </w:rPr>
        <w:t xml:space="preserve">par nekaitīgu </w:t>
      </w:r>
      <w:r w:rsidRPr="0075432F">
        <w:rPr>
          <w:rFonts w:ascii="Verdana" w:hAnsi="Verdana"/>
          <w:color w:val="1F497D"/>
          <w:sz w:val="28"/>
          <w:szCs w:val="28"/>
        </w:rPr>
        <w:t xml:space="preserve">barības </w:t>
      </w:r>
      <w:r w:rsidR="00B91000">
        <w:rPr>
          <w:rFonts w:ascii="Verdana" w:hAnsi="Verdana"/>
          <w:color w:val="1F497D"/>
          <w:sz w:val="28"/>
          <w:szCs w:val="28"/>
        </w:rPr>
        <w:t>sastāvdaļu</w:t>
      </w:r>
      <w:r w:rsidRPr="0075432F">
        <w:rPr>
          <w:rFonts w:ascii="Verdana" w:hAnsi="Verdana"/>
          <w:color w:val="1F497D"/>
          <w:sz w:val="28"/>
          <w:szCs w:val="28"/>
        </w:rPr>
        <w:t xml:space="preserve"> rūpniecisk</w:t>
      </w:r>
      <w:r w:rsidR="00D51E61">
        <w:rPr>
          <w:rFonts w:ascii="Verdana" w:hAnsi="Verdana"/>
          <w:color w:val="1F497D"/>
          <w:sz w:val="28"/>
          <w:szCs w:val="28"/>
        </w:rPr>
        <w:t>u</w:t>
      </w:r>
      <w:r w:rsidRPr="0075432F">
        <w:rPr>
          <w:rFonts w:ascii="Verdana" w:hAnsi="Verdana"/>
          <w:color w:val="1F497D"/>
          <w:sz w:val="28"/>
          <w:szCs w:val="28"/>
        </w:rPr>
        <w:t xml:space="preserve"> ražošan</w:t>
      </w:r>
      <w:r w:rsidR="00B91000">
        <w:rPr>
          <w:rFonts w:ascii="Verdana" w:hAnsi="Verdana"/>
          <w:color w:val="1F497D"/>
          <w:sz w:val="28"/>
          <w:szCs w:val="28"/>
        </w:rPr>
        <w:t>u</w:t>
      </w:r>
    </w:p>
    <w:p w:rsidR="00DC7DEC" w:rsidRPr="0075432F" w:rsidRDefault="00DC7DEC" w:rsidP="00DC7DEC">
      <w:pPr>
        <w:rPr>
          <w:rFonts w:ascii="Verdana" w:hAnsi="Verdana" w:cs="Tahoma"/>
          <w:b/>
          <w:color w:val="4F81BD"/>
          <w:sz w:val="48"/>
          <w:szCs w:val="48"/>
        </w:rPr>
      </w:pPr>
      <w:r w:rsidRPr="0075432F">
        <w:rPr>
          <w:rFonts w:ascii="Verdana" w:hAnsi="Verdana" w:cs="Tahoma"/>
          <w:b/>
          <w:color w:val="4F81BD"/>
          <w:sz w:val="48"/>
          <w:szCs w:val="48"/>
        </w:rPr>
        <w:t>Nozares atsauces dokuments par nekaitīgu barības sastāvdaļu ražošanu biodīzeļdegvielas pārstrādes procesā</w:t>
      </w:r>
    </w:p>
    <w:p w:rsidR="00DC7DEC" w:rsidRPr="0075432F" w:rsidRDefault="00DC7DEC" w:rsidP="00DC7DEC">
      <w:pPr>
        <w:jc w:val="both"/>
        <w:rPr>
          <w:rFonts w:ascii="Verdana" w:hAnsi="Verdana"/>
          <w:b/>
          <w:color w:val="1F497D"/>
          <w:sz w:val="28"/>
          <w:szCs w:val="28"/>
        </w:rPr>
      </w:pPr>
    </w:p>
    <w:p w:rsidR="00DC7DEC" w:rsidRPr="0075432F" w:rsidRDefault="00DC7DEC" w:rsidP="00DC7DEC">
      <w:pPr>
        <w:jc w:val="both"/>
        <w:rPr>
          <w:rFonts w:ascii="Verdana" w:hAnsi="Verdana"/>
          <w:b/>
          <w:color w:val="1F497D"/>
          <w:sz w:val="28"/>
          <w:szCs w:val="28"/>
        </w:rPr>
      </w:pPr>
      <w:r w:rsidRPr="0075432F">
        <w:rPr>
          <w:rFonts w:ascii="Verdana" w:hAnsi="Verdana"/>
          <w:b/>
          <w:color w:val="1F497D"/>
          <w:sz w:val="28"/>
          <w:szCs w:val="28"/>
        </w:rPr>
        <w:t>Versija 1.1</w:t>
      </w:r>
    </w:p>
    <w:p w:rsidR="00DC7DEC" w:rsidRPr="0075432F" w:rsidRDefault="00DC7DEC" w:rsidP="00DC7DEC">
      <w:pPr>
        <w:jc w:val="both"/>
        <w:rPr>
          <w:rFonts w:ascii="Verdana" w:hAnsi="Verdana"/>
          <w:b/>
          <w:color w:val="1F497D"/>
          <w:sz w:val="28"/>
          <w:szCs w:val="28"/>
        </w:rPr>
      </w:pPr>
      <w:r w:rsidRPr="0075432F">
        <w:rPr>
          <w:rFonts w:ascii="Verdana" w:hAnsi="Verdana"/>
          <w:b/>
          <w:color w:val="1F497D"/>
          <w:sz w:val="28"/>
          <w:szCs w:val="28"/>
        </w:rPr>
        <w:t>Spēkā no 2014. gada novembra</w:t>
      </w:r>
    </w:p>
    <w:p w:rsidR="00DC7DEC" w:rsidRPr="0075432F" w:rsidRDefault="00DC7DEC" w:rsidP="00DC7DEC">
      <w:pPr>
        <w:rPr>
          <w:rFonts w:ascii="Verdana" w:hAnsi="Verdana"/>
          <w:b/>
          <w:color w:val="808080"/>
          <w:sz w:val="28"/>
          <w:szCs w:val="28"/>
        </w:rPr>
      </w:pPr>
      <w:r w:rsidRPr="0075432F">
        <w:rPr>
          <w:rFonts w:ascii="Verdana" w:hAnsi="Verdana"/>
        </w:rPr>
        <w:br w:type="page"/>
      </w:r>
      <w:r w:rsidRPr="0075432F">
        <w:rPr>
          <w:rFonts w:ascii="Verdana" w:hAnsi="Verdana"/>
          <w:b/>
          <w:color w:val="808080"/>
          <w:sz w:val="28"/>
          <w:szCs w:val="28"/>
        </w:rPr>
        <w:lastRenderedPageBreak/>
        <w:t>Eiropas rokasgrāmatā aptvertās nozares</w:t>
      </w:r>
    </w:p>
    <w:p w:rsidR="00DC7DEC" w:rsidRPr="0075432F" w:rsidRDefault="00DC7DEC" w:rsidP="00DC7DEC">
      <w:pPr>
        <w:rPr>
          <w:rFonts w:ascii="Verdana" w:hAnsi="Verdana"/>
          <w:b/>
          <w:color w:val="808080"/>
          <w:sz w:val="28"/>
          <w:szCs w:val="28"/>
        </w:rPr>
      </w:pPr>
    </w:p>
    <w:p w:rsidR="00DC7DEC" w:rsidRPr="0075432F" w:rsidRDefault="00DC7DEC" w:rsidP="00DC7DEC">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DC7DEC" w:rsidRPr="0075432F" w:rsidRDefault="00DC7DEC" w:rsidP="00DC7DEC">
      <w:pPr>
        <w:pBdr>
          <w:top w:val="single" w:sz="4" w:space="1" w:color="auto"/>
          <w:left w:val="single" w:sz="4" w:space="4" w:color="auto"/>
          <w:bottom w:val="single" w:sz="4" w:space="0" w:color="auto"/>
          <w:right w:val="single" w:sz="4" w:space="4" w:color="auto"/>
        </w:pBdr>
        <w:shd w:val="clear" w:color="auto" w:fill="FDE9D9"/>
        <w:rPr>
          <w:rFonts w:ascii="Verdana" w:hAnsi="Verdana"/>
        </w:rPr>
      </w:pPr>
      <w:r w:rsidRPr="0075432F">
        <w:rPr>
          <w:rFonts w:ascii="Verdana" w:hAnsi="Verdana"/>
        </w:rPr>
        <w:t xml:space="preserve">Attiecīgās Eiropas nozaru organizācijas sadarbībā ar </w:t>
      </w:r>
      <w:r w:rsidRPr="0075432F">
        <w:rPr>
          <w:rFonts w:ascii="Verdana" w:hAnsi="Verdana"/>
          <w:i/>
        </w:rPr>
        <w:t>EFISC</w:t>
      </w:r>
      <w:r w:rsidRPr="0075432F">
        <w:rPr>
          <w:rFonts w:ascii="Verdana" w:hAnsi="Verdana"/>
        </w:rPr>
        <w:t xml:space="preserve"> ir izstrādājušas šādus nozaru dokumentus:</w:t>
      </w:r>
    </w:p>
    <w:p w:rsidR="00DC7DEC" w:rsidRPr="0075432F" w:rsidRDefault="00DC7DEC" w:rsidP="00DC7DEC">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DC7DEC" w:rsidRPr="0075432F" w:rsidRDefault="006B31B7" w:rsidP="00DC7DEC">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9">
        <w:r w:rsidR="00C477C2" w:rsidRPr="0075432F">
          <w:rPr>
            <w:rStyle w:val="Hyperlink"/>
            <w:rFonts w:ascii="Verdana" w:hAnsi="Verdana"/>
            <w:i/>
          </w:rPr>
          <w:t>Starch Europe</w:t>
        </w:r>
      </w:hyperlink>
      <w:r w:rsidR="00C477C2" w:rsidRPr="0075432F">
        <w:rPr>
          <w:rFonts w:ascii="Verdana" w:hAnsi="Verdana"/>
        </w:rPr>
        <w:tab/>
        <w:t>Nozares atsauces dokuments par nekaitīgu barības sastāvdaļu ražošanu cietes pārstrādes procesā</w:t>
      </w:r>
    </w:p>
    <w:p w:rsidR="00DC7DEC" w:rsidRPr="0075432F" w:rsidRDefault="006B31B7" w:rsidP="00DC7DEC">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rPr>
      </w:pPr>
      <w:hyperlink r:id="rId10">
        <w:r w:rsidR="00C477C2" w:rsidRPr="0075432F">
          <w:rPr>
            <w:rStyle w:val="Hyperlink"/>
            <w:rFonts w:ascii="Verdana" w:hAnsi="Verdana"/>
            <w:i/>
          </w:rPr>
          <w:t>FEDIOL</w:t>
        </w:r>
      </w:hyperlink>
      <w:r w:rsidR="00C477C2" w:rsidRPr="0075432F">
        <w:rPr>
          <w:rFonts w:ascii="Verdana" w:hAnsi="Verdana"/>
        </w:rPr>
        <w:tab/>
        <w:t xml:space="preserve">Nozares atsauces dokuments par nekaitīgu barības sastāvdaļu ražošanu eļļas augu sēklu </w:t>
      </w:r>
      <w:r w:rsidR="002C62A8" w:rsidRPr="0075432F">
        <w:rPr>
          <w:rFonts w:ascii="Verdana" w:hAnsi="Verdana"/>
        </w:rPr>
        <w:t>drupinā</w:t>
      </w:r>
      <w:r w:rsidR="00C477C2" w:rsidRPr="0075432F">
        <w:rPr>
          <w:rFonts w:ascii="Verdana" w:hAnsi="Verdana"/>
        </w:rPr>
        <w:t>šanas un augu eļļas rafinēšanas procesā</w:t>
      </w:r>
    </w:p>
    <w:p w:rsidR="00DC7DEC" w:rsidRPr="0075432F" w:rsidRDefault="006B31B7" w:rsidP="00DC7DEC">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1">
        <w:r w:rsidR="00C477C2" w:rsidRPr="0075432F">
          <w:rPr>
            <w:rStyle w:val="Hyperlink"/>
            <w:rFonts w:ascii="Verdana" w:hAnsi="Verdana"/>
            <w:i/>
          </w:rPr>
          <w:t>EBB</w:t>
        </w:r>
      </w:hyperlink>
      <w:r w:rsidR="00C477C2" w:rsidRPr="0075432F">
        <w:rPr>
          <w:rFonts w:ascii="Verdana" w:hAnsi="Verdana"/>
        </w:rPr>
        <w:tab/>
      </w:r>
      <w:r w:rsidR="00C477C2" w:rsidRPr="0075432F">
        <w:rPr>
          <w:rFonts w:ascii="Verdana" w:hAnsi="Verdana"/>
          <w:b/>
        </w:rPr>
        <w:t>Nozares atsauces dokuments par nekaitīgu barības sastāvdaļu ražošanu biodīzeļdegvielas pārstrādes procesā</w:t>
      </w:r>
    </w:p>
    <w:p w:rsidR="00DC7DEC" w:rsidRPr="0075432F" w:rsidRDefault="00DC7DEC" w:rsidP="00DC7DEC">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DC7DEC" w:rsidRPr="0075432F" w:rsidRDefault="00CE6E17" w:rsidP="00DC7DEC">
      <w:pPr>
        <w:pBdr>
          <w:top w:val="single" w:sz="4" w:space="1" w:color="auto"/>
          <w:left w:val="single" w:sz="4" w:space="4" w:color="auto"/>
          <w:bottom w:val="single" w:sz="4" w:space="0" w:color="auto"/>
          <w:right w:val="single" w:sz="4" w:space="4" w:color="auto"/>
        </w:pBdr>
        <w:shd w:val="clear" w:color="auto" w:fill="FDE9D9"/>
        <w:rPr>
          <w:rFonts w:ascii="Verdana" w:hAnsi="Verdana"/>
        </w:rPr>
      </w:pPr>
      <w:r w:rsidRPr="0075432F">
        <w:rPr>
          <w:rFonts w:ascii="Verdana" w:hAnsi="Verdana"/>
        </w:rPr>
        <w:t>Šo Eiropas rokasgrāmatu var izmantot citi barības sastāvdaļu ražotāji, izstrādājot nozares dokumentu.</w:t>
      </w:r>
    </w:p>
    <w:p w:rsidR="00DC7DEC" w:rsidRPr="0075432F" w:rsidRDefault="00DC7DEC" w:rsidP="00DC7DEC">
      <w:pPr>
        <w:rPr>
          <w:rFonts w:ascii="Verdana" w:hAnsi="Verdana"/>
          <w:b/>
          <w:color w:val="808080"/>
          <w:sz w:val="22"/>
          <w:szCs w:val="22"/>
        </w:rPr>
      </w:pPr>
    </w:p>
    <w:p w:rsidR="00DC7DEC" w:rsidRPr="0075432F" w:rsidRDefault="00DC7DEC" w:rsidP="00DC7DEC">
      <w:pPr>
        <w:rPr>
          <w:rFonts w:ascii="Verdana" w:hAnsi="Verdana"/>
          <w:b/>
          <w:color w:val="808080"/>
          <w:sz w:val="22"/>
          <w:szCs w:val="22"/>
        </w:rPr>
      </w:pPr>
      <w:r w:rsidRPr="0075432F">
        <w:rPr>
          <w:rFonts w:ascii="Verdana" w:hAnsi="Verdana"/>
          <w:b/>
          <w:color w:val="808080"/>
          <w:sz w:val="22"/>
        </w:rPr>
        <w:t xml:space="preserve">Informācija par </w:t>
      </w:r>
      <w:r w:rsidRPr="0075432F">
        <w:rPr>
          <w:rFonts w:ascii="Verdana" w:hAnsi="Verdana"/>
          <w:b/>
          <w:i/>
          <w:color w:val="808080"/>
          <w:sz w:val="22"/>
        </w:rPr>
        <w:t>EBB</w:t>
      </w:r>
      <w:r w:rsidRPr="0075432F">
        <w:rPr>
          <w:rFonts w:ascii="Verdana" w:hAnsi="Verdana"/>
        </w:rPr>
        <w:t xml:space="preserve"> </w:t>
      </w:r>
    </w:p>
    <w:p w:rsidR="00DC7DEC" w:rsidRPr="0075432F" w:rsidRDefault="00DC7DEC" w:rsidP="00DC7DEC">
      <w:pPr>
        <w:rPr>
          <w:rFonts w:ascii="Verdana" w:hAnsi="Verdana"/>
          <w:b/>
          <w:color w:val="808080"/>
          <w:sz w:val="22"/>
          <w:szCs w:val="22"/>
        </w:rPr>
      </w:pPr>
    </w:p>
    <w:p w:rsidR="00DC7DEC" w:rsidRPr="0075432F" w:rsidRDefault="00CE6E17" w:rsidP="00DC7DEC">
      <w:pPr>
        <w:rPr>
          <w:rFonts w:ascii="Verdana" w:hAnsi="Verdana"/>
          <w:sz w:val="22"/>
          <w:szCs w:val="22"/>
        </w:rPr>
      </w:pPr>
      <w:r w:rsidRPr="0075432F">
        <w:rPr>
          <w:rFonts w:ascii="Verdana" w:hAnsi="Verdana"/>
          <w:sz w:val="22"/>
        </w:rPr>
        <w:t>Kontaktinformācija</w:t>
      </w:r>
      <w:r w:rsidR="00DC7DEC" w:rsidRPr="0075432F">
        <w:rPr>
          <w:rFonts w:ascii="Verdana" w:hAnsi="Verdana"/>
          <w:sz w:val="22"/>
        </w:rPr>
        <w:t>:</w:t>
      </w:r>
    </w:p>
    <w:p w:rsidR="00DC7DEC" w:rsidRPr="0075432F" w:rsidRDefault="00DC7DEC" w:rsidP="00DC7DEC">
      <w:pPr>
        <w:rPr>
          <w:rFonts w:ascii="Verdana" w:hAnsi="Verdana"/>
          <w:sz w:val="22"/>
          <w:szCs w:val="22"/>
        </w:rPr>
      </w:pPr>
    </w:p>
    <w:p w:rsidR="00DC7DEC" w:rsidRPr="000C3CE3" w:rsidRDefault="00DC7DEC" w:rsidP="00DC7DEC">
      <w:pPr>
        <w:rPr>
          <w:rFonts w:ascii="Verdana" w:hAnsi="Verdana"/>
          <w:bCs/>
          <w:color w:val="006633"/>
          <w:sz w:val="22"/>
          <w:szCs w:val="22"/>
        </w:rPr>
      </w:pPr>
      <w:r w:rsidRPr="0075432F">
        <w:rPr>
          <w:rFonts w:ascii="Verdana" w:hAnsi="Verdana"/>
          <w:color w:val="006633"/>
          <w:sz w:val="22"/>
        </w:rPr>
        <w:t>Eiropas Biodīzeļdegvielas padom</w:t>
      </w:r>
      <w:r w:rsidR="00B91000">
        <w:rPr>
          <w:rFonts w:ascii="Verdana" w:hAnsi="Verdana"/>
          <w:color w:val="006633"/>
          <w:sz w:val="22"/>
        </w:rPr>
        <w:t>e</w:t>
      </w:r>
      <w:r w:rsidRPr="0075432F">
        <w:rPr>
          <w:rFonts w:ascii="Verdana" w:hAnsi="Verdana"/>
          <w:color w:val="006633"/>
          <w:sz w:val="22"/>
        </w:rPr>
        <w:t xml:space="preserve"> (</w:t>
      </w:r>
      <w:r w:rsidRPr="0075432F">
        <w:rPr>
          <w:rFonts w:ascii="Verdana" w:hAnsi="Verdana"/>
          <w:i/>
          <w:color w:val="006633"/>
          <w:sz w:val="22"/>
        </w:rPr>
        <w:t>EBB</w:t>
      </w:r>
      <w:r w:rsidRPr="0075432F">
        <w:rPr>
          <w:rFonts w:ascii="Verdana" w:hAnsi="Verdana"/>
          <w:color w:val="006633"/>
          <w:sz w:val="22"/>
        </w:rPr>
        <w:t>)</w:t>
      </w:r>
      <w:r w:rsidRPr="0075432F">
        <w:rPr>
          <w:rFonts w:ascii="Verdana" w:hAnsi="Verdana"/>
        </w:rPr>
        <w:tab/>
      </w:r>
      <w:r w:rsidRPr="0075432F">
        <w:rPr>
          <w:rFonts w:ascii="Verdana" w:hAnsi="Verdana"/>
          <w:b/>
          <w:i/>
          <w:color w:val="006633"/>
          <w:sz w:val="32"/>
        </w:rPr>
        <w:t>EBB</w:t>
      </w:r>
      <w:r w:rsidRPr="0075432F">
        <w:rPr>
          <w:rFonts w:ascii="Verdana" w:hAnsi="Verdana"/>
          <w:bCs/>
          <w:color w:val="006633"/>
          <w:sz w:val="22"/>
          <w:szCs w:val="22"/>
        </w:rPr>
        <w:br/>
      </w:r>
      <w:r w:rsidRPr="0075432F">
        <w:rPr>
          <w:rFonts w:ascii="Verdana" w:hAnsi="Verdana"/>
          <w:i/>
          <w:color w:val="006633"/>
          <w:sz w:val="22"/>
        </w:rPr>
        <w:t>Boulevard Saint Michel</w:t>
      </w:r>
      <w:r w:rsidRPr="0075432F">
        <w:rPr>
          <w:rFonts w:ascii="Verdana" w:hAnsi="Verdana"/>
          <w:color w:val="006633"/>
          <w:sz w:val="22"/>
        </w:rPr>
        <w:t xml:space="preserve"> 34</w:t>
      </w:r>
      <w:r w:rsidRPr="0075432F">
        <w:rPr>
          <w:rFonts w:ascii="Verdana" w:hAnsi="Verdana"/>
        </w:rPr>
        <w:tab/>
      </w:r>
      <w:r w:rsidRPr="0075432F">
        <w:rPr>
          <w:rFonts w:ascii="Verdana" w:hAnsi="Verdana"/>
        </w:rPr>
        <w:tab/>
      </w:r>
      <w:r w:rsidRPr="0075432F">
        <w:rPr>
          <w:rFonts w:ascii="Verdana" w:hAnsi="Verdana"/>
          <w:color w:val="006633"/>
          <w:sz w:val="28"/>
        </w:rPr>
        <w:t>Eiropas Biodīzeļdegvielas padome</w:t>
      </w:r>
      <w:r w:rsidRPr="0075432F">
        <w:rPr>
          <w:rFonts w:ascii="Verdana" w:hAnsi="Verdana"/>
          <w:bCs/>
          <w:color w:val="006633"/>
          <w:sz w:val="22"/>
          <w:szCs w:val="22"/>
        </w:rPr>
        <w:br/>
      </w:r>
      <w:r w:rsidRPr="0075432F">
        <w:rPr>
          <w:rFonts w:ascii="Verdana" w:hAnsi="Verdana"/>
          <w:color w:val="006633"/>
          <w:sz w:val="22"/>
        </w:rPr>
        <w:t>1040 Brisele, Beļģija</w:t>
      </w:r>
      <w:r w:rsidRPr="0075432F">
        <w:rPr>
          <w:rFonts w:ascii="Verdana" w:hAnsi="Verdana"/>
          <w:bCs/>
          <w:color w:val="006633"/>
          <w:sz w:val="22"/>
          <w:szCs w:val="22"/>
        </w:rPr>
        <w:br/>
      </w:r>
      <w:r w:rsidRPr="0075432F">
        <w:rPr>
          <w:rFonts w:ascii="Verdana" w:hAnsi="Verdana"/>
          <w:color w:val="006633"/>
          <w:sz w:val="22"/>
        </w:rPr>
        <w:t>Tālr.: +32 (0)2 763 2477</w:t>
      </w:r>
      <w:r w:rsidRPr="0075432F">
        <w:rPr>
          <w:rFonts w:ascii="Verdana" w:hAnsi="Verdana"/>
          <w:bCs/>
          <w:color w:val="006633"/>
          <w:sz w:val="22"/>
          <w:szCs w:val="22"/>
        </w:rPr>
        <w:br/>
      </w:r>
      <w:r w:rsidRPr="000C3CE3">
        <w:rPr>
          <w:rFonts w:ascii="Verdana" w:hAnsi="Verdana"/>
          <w:color w:val="006633"/>
          <w:sz w:val="22"/>
        </w:rPr>
        <w:t>Fakss: +32 (0)2 763 0457</w:t>
      </w:r>
    </w:p>
    <w:p w:rsidR="00DC7DEC" w:rsidRPr="000C3CE3" w:rsidRDefault="00DC7DEC" w:rsidP="00DC7DEC">
      <w:pPr>
        <w:rPr>
          <w:rFonts w:ascii="Verdana" w:hAnsi="Verdana"/>
          <w:sz w:val="24"/>
        </w:rPr>
      </w:pPr>
      <w:r w:rsidRPr="000C3CE3">
        <w:rPr>
          <w:rFonts w:ascii="Verdana" w:hAnsi="Verdana"/>
          <w:sz w:val="24"/>
        </w:rPr>
        <w:t xml:space="preserve">E-pasts: </w:t>
      </w:r>
      <w:hyperlink r:id="rId12" w:tooltip="ebb@ebb-eu.org">
        <w:r w:rsidRPr="000C3CE3">
          <w:rPr>
            <w:rStyle w:val="Hyperlink"/>
            <w:rFonts w:ascii="Verdana" w:hAnsi="Verdana"/>
            <w:sz w:val="24"/>
          </w:rPr>
          <w:t>ebb@ebb-eu.org</w:t>
        </w:r>
      </w:hyperlink>
    </w:p>
    <w:p w:rsidR="00DC7DEC" w:rsidRPr="000C3CE3" w:rsidRDefault="00DC7DEC" w:rsidP="00DC7DEC">
      <w:pPr>
        <w:rPr>
          <w:rFonts w:ascii="Verdana" w:hAnsi="Verdana"/>
          <w:sz w:val="24"/>
        </w:rPr>
      </w:pPr>
      <w:r w:rsidRPr="000C3CE3">
        <w:rPr>
          <w:rFonts w:ascii="Verdana" w:hAnsi="Verdana"/>
          <w:sz w:val="24"/>
        </w:rPr>
        <w:t xml:space="preserve">Tīmekļa vietne: </w:t>
      </w:r>
      <w:hyperlink r:id="rId13">
        <w:r w:rsidRPr="000C3CE3">
          <w:rPr>
            <w:rStyle w:val="Hyperlink"/>
            <w:rFonts w:ascii="Verdana" w:hAnsi="Verdana"/>
            <w:sz w:val="24"/>
          </w:rPr>
          <w:t>www.ebb-eu.org</w:t>
        </w:r>
      </w:hyperlink>
    </w:p>
    <w:p w:rsidR="00DC7DEC" w:rsidRPr="0075432F" w:rsidRDefault="00DC7DEC" w:rsidP="00DC7DEC">
      <w:pPr>
        <w:rPr>
          <w:rFonts w:ascii="Verdana" w:hAnsi="Verdana"/>
          <w:b/>
          <w:color w:val="808080"/>
          <w:sz w:val="22"/>
          <w:szCs w:val="22"/>
        </w:rPr>
      </w:pPr>
    </w:p>
    <w:p w:rsidR="00DC7DEC" w:rsidRPr="0075432F" w:rsidRDefault="00DC7DEC" w:rsidP="00DC7DEC">
      <w:pPr>
        <w:rPr>
          <w:rFonts w:ascii="Verdana" w:hAnsi="Verdana"/>
          <w:b/>
          <w:color w:val="808080"/>
          <w:sz w:val="22"/>
          <w:szCs w:val="22"/>
        </w:rPr>
      </w:pPr>
      <w:r w:rsidRPr="0075432F">
        <w:rPr>
          <w:rFonts w:ascii="Verdana" w:hAnsi="Verdana"/>
          <w:b/>
          <w:color w:val="808080"/>
          <w:sz w:val="22"/>
        </w:rPr>
        <w:t xml:space="preserve">Informācija par </w:t>
      </w:r>
      <w:r w:rsidRPr="0075432F">
        <w:rPr>
          <w:rFonts w:ascii="Verdana" w:hAnsi="Verdana"/>
          <w:b/>
          <w:i/>
          <w:color w:val="808080"/>
          <w:sz w:val="22"/>
        </w:rPr>
        <w:t>EFISC</w:t>
      </w:r>
    </w:p>
    <w:p w:rsidR="00DC7DEC" w:rsidRPr="0075432F" w:rsidRDefault="00DC7DEC" w:rsidP="00DC7DEC">
      <w:pPr>
        <w:ind w:firstLine="708"/>
        <w:jc w:val="right"/>
        <w:rPr>
          <w:rFonts w:ascii="Verdana" w:hAnsi="Verdana"/>
          <w:b/>
          <w:color w:val="1F497D" w:themeColor="text2"/>
          <w:sz w:val="36"/>
          <w:szCs w:val="36"/>
        </w:rPr>
      </w:pPr>
      <w:r w:rsidRPr="0075432F">
        <w:rPr>
          <w:rFonts w:ascii="Verdana" w:hAnsi="Verdana"/>
          <w:b/>
          <w:i/>
          <w:color w:val="1F497D" w:themeColor="text2"/>
          <w:sz w:val="36"/>
        </w:rPr>
        <w:t>EFISC</w:t>
      </w:r>
    </w:p>
    <w:p w:rsidR="00DC7DEC" w:rsidRPr="0075432F" w:rsidRDefault="000C3CE3" w:rsidP="00DC7DEC">
      <w:pPr>
        <w:jc w:val="right"/>
        <w:rPr>
          <w:rFonts w:ascii="Verdana" w:hAnsi="Verdana"/>
          <w:b/>
          <w:color w:val="1F497D" w:themeColor="text2"/>
          <w:sz w:val="16"/>
          <w:szCs w:val="16"/>
        </w:rPr>
      </w:pPr>
      <w:r>
        <w:rPr>
          <w:rFonts w:ascii="Verdana" w:hAnsi="Verdana"/>
          <w:b/>
          <w:color w:val="1F497D" w:themeColor="text2"/>
          <w:sz w:val="16"/>
        </w:rPr>
        <w:t>Eiropas b</w:t>
      </w:r>
      <w:r w:rsidR="00DC7DEC" w:rsidRPr="0075432F">
        <w:rPr>
          <w:rFonts w:ascii="Verdana" w:hAnsi="Verdana"/>
          <w:b/>
          <w:color w:val="1F497D" w:themeColor="text2"/>
          <w:sz w:val="16"/>
        </w:rPr>
        <w:t>arības sastāvdaļu nekaitīguma sertifikā</w:t>
      </w:r>
      <w:r w:rsidR="00CE6E17" w:rsidRPr="0075432F">
        <w:rPr>
          <w:rFonts w:ascii="Verdana" w:hAnsi="Verdana"/>
          <w:b/>
          <w:color w:val="1F497D" w:themeColor="text2"/>
          <w:sz w:val="16"/>
        </w:rPr>
        <w:t>ts</w:t>
      </w:r>
    </w:p>
    <w:p w:rsidR="00DC7DEC" w:rsidRPr="0075432F" w:rsidRDefault="00CE6E17" w:rsidP="00DC7DEC">
      <w:pPr>
        <w:rPr>
          <w:rFonts w:ascii="Verdana" w:hAnsi="Verdana"/>
          <w:sz w:val="22"/>
          <w:szCs w:val="22"/>
        </w:rPr>
      </w:pPr>
      <w:r w:rsidRPr="0075432F">
        <w:rPr>
          <w:rFonts w:ascii="Verdana" w:hAnsi="Verdana"/>
          <w:sz w:val="22"/>
        </w:rPr>
        <w:t>Kontaktinformācija</w:t>
      </w:r>
      <w:r w:rsidR="00DC7DEC" w:rsidRPr="0075432F">
        <w:rPr>
          <w:rFonts w:ascii="Verdana" w:hAnsi="Verdana"/>
          <w:sz w:val="22"/>
        </w:rPr>
        <w:t>:</w:t>
      </w:r>
    </w:p>
    <w:p w:rsidR="00DC7DEC" w:rsidRPr="0075432F" w:rsidRDefault="00DC7DEC" w:rsidP="00DC7DEC">
      <w:pPr>
        <w:rPr>
          <w:rFonts w:ascii="Verdana" w:hAnsi="Verdana"/>
          <w:sz w:val="22"/>
          <w:szCs w:val="22"/>
        </w:rPr>
      </w:pPr>
    </w:p>
    <w:p w:rsidR="00DC7DEC" w:rsidRPr="0075432F" w:rsidRDefault="00DC7DEC" w:rsidP="00DC7DEC">
      <w:pPr>
        <w:rPr>
          <w:rFonts w:ascii="Verdana" w:hAnsi="Verdana"/>
          <w:sz w:val="22"/>
          <w:szCs w:val="22"/>
        </w:rPr>
      </w:pPr>
      <w:r w:rsidRPr="0075432F">
        <w:rPr>
          <w:rFonts w:ascii="Verdana" w:hAnsi="Verdana"/>
          <w:i/>
          <w:sz w:val="22"/>
        </w:rPr>
        <w:t>EFISC Aisbl</w:t>
      </w:r>
    </w:p>
    <w:p w:rsidR="00DC7DEC" w:rsidRPr="0075432F" w:rsidRDefault="00DC7DEC" w:rsidP="00DC7DEC">
      <w:pPr>
        <w:rPr>
          <w:rFonts w:ascii="Verdana" w:hAnsi="Verdana"/>
          <w:sz w:val="22"/>
          <w:szCs w:val="22"/>
        </w:rPr>
      </w:pPr>
      <w:r w:rsidRPr="0075432F">
        <w:rPr>
          <w:rFonts w:ascii="Verdana" w:hAnsi="Verdana"/>
          <w:i/>
          <w:sz w:val="22"/>
        </w:rPr>
        <w:t>Avenue des Arts</w:t>
      </w:r>
      <w:r w:rsidRPr="0075432F">
        <w:rPr>
          <w:rFonts w:ascii="Verdana" w:hAnsi="Verdana"/>
          <w:sz w:val="22"/>
        </w:rPr>
        <w:t xml:space="preserve"> 43, nodošanai </w:t>
      </w:r>
      <w:r w:rsidRPr="0075432F">
        <w:rPr>
          <w:rFonts w:ascii="Verdana" w:hAnsi="Verdana"/>
          <w:i/>
          <w:sz w:val="22"/>
        </w:rPr>
        <w:t>Starch Europe</w:t>
      </w:r>
    </w:p>
    <w:p w:rsidR="00DC7DEC" w:rsidRPr="0075432F" w:rsidRDefault="00DC7DEC" w:rsidP="00DC7DEC">
      <w:pPr>
        <w:rPr>
          <w:rFonts w:ascii="Verdana" w:hAnsi="Verdana"/>
          <w:sz w:val="22"/>
          <w:szCs w:val="22"/>
        </w:rPr>
      </w:pPr>
      <w:r w:rsidRPr="0075432F">
        <w:rPr>
          <w:rFonts w:ascii="Verdana" w:hAnsi="Verdana"/>
          <w:sz w:val="22"/>
        </w:rPr>
        <w:t>B 1040 Brisele</w:t>
      </w:r>
    </w:p>
    <w:p w:rsidR="00DC7DEC" w:rsidRPr="0075432F" w:rsidRDefault="00DC7DEC" w:rsidP="00DC7DEC">
      <w:pPr>
        <w:rPr>
          <w:rFonts w:ascii="Verdana" w:hAnsi="Verdana"/>
          <w:sz w:val="22"/>
          <w:szCs w:val="22"/>
        </w:rPr>
      </w:pPr>
      <w:r w:rsidRPr="0075432F">
        <w:rPr>
          <w:rFonts w:ascii="Verdana" w:hAnsi="Verdana"/>
          <w:color w:val="000000"/>
          <w:kern w:val="28"/>
          <w:sz w:val="22"/>
        </w:rPr>
        <w:t>Tālr.: + 32 (0)2 771 53 30</w:t>
      </w:r>
    </w:p>
    <w:p w:rsidR="00DC7DEC" w:rsidRPr="0075432F" w:rsidRDefault="00DC7DEC" w:rsidP="00DC7DEC">
      <w:pPr>
        <w:rPr>
          <w:rFonts w:ascii="Verdana" w:hAnsi="Verdana"/>
          <w:sz w:val="22"/>
          <w:szCs w:val="22"/>
        </w:rPr>
      </w:pPr>
      <w:r w:rsidRPr="0075432F">
        <w:rPr>
          <w:rFonts w:ascii="Verdana" w:hAnsi="Verdana"/>
          <w:color w:val="000000"/>
          <w:kern w:val="28"/>
          <w:sz w:val="22"/>
        </w:rPr>
        <w:t>Fakss: + 32 (0)2 771 38 17</w:t>
      </w:r>
    </w:p>
    <w:p w:rsidR="00DC7DEC" w:rsidRPr="0075432F" w:rsidRDefault="00DC7DEC" w:rsidP="00DC7DEC">
      <w:pPr>
        <w:rPr>
          <w:rFonts w:ascii="Verdana" w:hAnsi="Verdana"/>
          <w:sz w:val="22"/>
          <w:szCs w:val="22"/>
        </w:rPr>
      </w:pPr>
      <w:r w:rsidRPr="0075432F">
        <w:rPr>
          <w:rFonts w:ascii="Verdana" w:hAnsi="Verdana"/>
          <w:sz w:val="22"/>
        </w:rPr>
        <w:t xml:space="preserve">E-pasts: </w:t>
      </w:r>
      <w:hyperlink r:id="rId14">
        <w:r w:rsidRPr="0075432F">
          <w:rPr>
            <w:rFonts w:ascii="Verdana" w:hAnsi="Verdana"/>
            <w:sz w:val="22"/>
          </w:rPr>
          <w:t>mailto:info@efisc.eu</w:t>
        </w:r>
      </w:hyperlink>
    </w:p>
    <w:p w:rsidR="00DC7DEC" w:rsidRPr="0075432F" w:rsidRDefault="00DC7DEC" w:rsidP="00DC7DEC">
      <w:pPr>
        <w:rPr>
          <w:rFonts w:ascii="Verdana" w:hAnsi="Verdana"/>
          <w:sz w:val="22"/>
          <w:szCs w:val="22"/>
        </w:rPr>
      </w:pPr>
      <w:r w:rsidRPr="0075432F">
        <w:rPr>
          <w:rFonts w:ascii="Verdana" w:hAnsi="Verdana"/>
          <w:sz w:val="22"/>
        </w:rPr>
        <w:t xml:space="preserve">Tīmekļa vietne: </w:t>
      </w:r>
      <w:hyperlink r:id="rId15">
        <w:r w:rsidRPr="0075432F">
          <w:rPr>
            <w:rFonts w:ascii="Verdana" w:hAnsi="Verdana"/>
            <w:sz w:val="22"/>
          </w:rPr>
          <w:t>www.efisc.eu</w:t>
        </w:r>
      </w:hyperlink>
    </w:p>
    <w:p w:rsidR="00DC7DEC" w:rsidRPr="0075432F" w:rsidRDefault="00DC7DEC" w:rsidP="00DC7DEC">
      <w:pPr>
        <w:widowControl w:val="0"/>
        <w:spacing w:after="140"/>
        <w:rPr>
          <w:rFonts w:ascii="Verdana" w:hAnsi="Verdana"/>
          <w:b/>
          <w:color w:val="808080"/>
          <w:kern w:val="28"/>
          <w:sz w:val="22"/>
          <w:szCs w:val="22"/>
        </w:rPr>
      </w:pPr>
    </w:p>
    <w:p w:rsidR="00DC7DEC" w:rsidRPr="0075432F" w:rsidRDefault="00DC7DEC" w:rsidP="00DC7DEC">
      <w:pPr>
        <w:widowControl w:val="0"/>
        <w:spacing w:after="140"/>
        <w:rPr>
          <w:rFonts w:ascii="Verdana" w:hAnsi="Verdana"/>
          <w:b/>
          <w:color w:val="808080"/>
          <w:kern w:val="28"/>
          <w:sz w:val="22"/>
          <w:szCs w:val="22"/>
        </w:rPr>
      </w:pPr>
      <w:r w:rsidRPr="0075432F">
        <w:rPr>
          <w:rFonts w:ascii="Verdana" w:hAnsi="Verdana"/>
          <w:b/>
          <w:color w:val="808080"/>
          <w:kern w:val="28"/>
          <w:sz w:val="22"/>
        </w:rPr>
        <w:t>Informācija par publicēšanu un autortiesībām</w:t>
      </w:r>
    </w:p>
    <w:p w:rsidR="00DC7DEC" w:rsidRPr="0075432F" w:rsidRDefault="00DC7DEC" w:rsidP="00DC7DEC">
      <w:pPr>
        <w:widowControl w:val="0"/>
        <w:spacing w:after="140"/>
        <w:rPr>
          <w:rFonts w:ascii="Verdana" w:hAnsi="Verdana"/>
          <w:sz w:val="22"/>
          <w:szCs w:val="22"/>
        </w:rPr>
      </w:pPr>
      <w:r w:rsidRPr="0075432F">
        <w:rPr>
          <w:rFonts w:ascii="Verdana" w:hAnsi="Verdana"/>
          <w:sz w:val="22"/>
        </w:rPr>
        <w:t xml:space="preserve">Visas tiesības </w:t>
      </w:r>
      <w:r w:rsidR="0082690F">
        <w:rPr>
          <w:rFonts w:ascii="Verdana" w:hAnsi="Verdana"/>
          <w:sz w:val="22"/>
        </w:rPr>
        <w:t>aizsargātas</w:t>
      </w:r>
      <w:r w:rsidRPr="0075432F">
        <w:rPr>
          <w:rFonts w:ascii="Verdana" w:hAnsi="Verdana"/>
          <w:color w:val="1F497D"/>
          <w:sz w:val="22"/>
        </w:rPr>
        <w:t xml:space="preserve"> </w:t>
      </w:r>
      <w:r w:rsidRPr="0075432F">
        <w:rPr>
          <w:rFonts w:ascii="Verdana" w:hAnsi="Verdana"/>
          <w:sz w:val="22"/>
        </w:rPr>
        <w:t>©</w:t>
      </w:r>
      <w:r w:rsidRPr="0075432F">
        <w:rPr>
          <w:rFonts w:ascii="Verdana" w:hAnsi="Verdana"/>
          <w:i/>
          <w:sz w:val="22"/>
        </w:rPr>
        <w:t>EFISC Aisbl.</w:t>
      </w:r>
    </w:p>
    <w:p w:rsidR="00DC7DEC" w:rsidRPr="0075432F" w:rsidRDefault="00DC7DEC" w:rsidP="00DC7DEC">
      <w:pPr>
        <w:widowControl w:val="0"/>
        <w:spacing w:after="140"/>
        <w:rPr>
          <w:rFonts w:ascii="Verdana" w:hAnsi="Verdana"/>
          <w:color w:val="000000"/>
          <w:kern w:val="28"/>
          <w:sz w:val="22"/>
          <w:szCs w:val="22"/>
        </w:rPr>
      </w:pPr>
      <w:r w:rsidRPr="0075432F">
        <w:rPr>
          <w:rFonts w:ascii="Verdana" w:hAnsi="Verdana"/>
          <w:color w:val="000000"/>
          <w:kern w:val="28"/>
          <w:sz w:val="22"/>
        </w:rPr>
        <w:t>Versija 1.1.</w:t>
      </w:r>
    </w:p>
    <w:p w:rsidR="00DC7DEC" w:rsidRPr="0075432F" w:rsidRDefault="00DC7DEC" w:rsidP="004E1B14">
      <w:pPr>
        <w:widowControl w:val="0"/>
        <w:spacing w:after="140"/>
        <w:rPr>
          <w:rStyle w:val="Strong"/>
          <w:rFonts w:ascii="Verdana" w:hAnsi="Verdana"/>
          <w:b w:val="0"/>
          <w:bCs w:val="0"/>
          <w:szCs w:val="20"/>
        </w:rPr>
      </w:pPr>
      <w:r w:rsidRPr="0075432F">
        <w:rPr>
          <w:rFonts w:ascii="Verdana" w:hAnsi="Verdana"/>
          <w:color w:val="000000"/>
          <w:kern w:val="28"/>
          <w:sz w:val="22"/>
        </w:rPr>
        <w:t>Spēkā no 2014. gada novembra</w:t>
      </w:r>
      <w:bookmarkStart w:id="0" w:name="_GoBack"/>
      <w:bookmarkEnd w:id="0"/>
      <w:r w:rsidRPr="0075432F">
        <w:rPr>
          <w:rFonts w:ascii="Verdana" w:hAnsi="Verdana"/>
        </w:rPr>
        <w:br w:type="page"/>
      </w:r>
      <w:r w:rsidRPr="0075432F">
        <w:rPr>
          <w:rStyle w:val="Strong"/>
          <w:rFonts w:ascii="Verdana" w:hAnsi="Verdana"/>
        </w:rPr>
        <w:lastRenderedPageBreak/>
        <w:t xml:space="preserve"> </w:t>
      </w:r>
    </w:p>
    <w:p w:rsidR="00DC7DEC" w:rsidRPr="0075432F" w:rsidRDefault="00DC7DEC" w:rsidP="00DC7DEC">
      <w:pPr>
        <w:pBdr>
          <w:top w:val="single" w:sz="4" w:space="1" w:color="auto"/>
          <w:left w:val="single" w:sz="4" w:space="4" w:color="auto"/>
          <w:bottom w:val="single" w:sz="4" w:space="1" w:color="auto"/>
          <w:right w:val="single" w:sz="4" w:space="4" w:color="auto"/>
        </w:pBdr>
        <w:shd w:val="clear" w:color="auto" w:fill="FDE9D9"/>
        <w:jc w:val="center"/>
        <w:rPr>
          <w:rFonts w:ascii="Verdana" w:hAnsi="Verdana"/>
        </w:rPr>
      </w:pPr>
      <w:r w:rsidRPr="0075432F">
        <w:rPr>
          <w:rFonts w:ascii="Verdana" w:hAnsi="Verdana"/>
          <w:color w:val="FF0000"/>
        </w:rPr>
        <w:t xml:space="preserve">Šajā biodīzeļdegvielas nozares dokumentā nav aplūkoti dzīvnieku tauku / atstrādātu eļļu ražošanas procesi un to rezultātā iegūtās barības sastāvdaļas, tāpēc uz tiem neattiecas ne šis nozares dokuments, ne </w:t>
      </w:r>
      <w:r w:rsidRPr="0075432F">
        <w:rPr>
          <w:rFonts w:ascii="Verdana" w:hAnsi="Verdana"/>
          <w:i/>
          <w:color w:val="FF0000"/>
        </w:rPr>
        <w:t>EFISC</w:t>
      </w:r>
      <w:r w:rsidRPr="0075432F">
        <w:rPr>
          <w:rFonts w:ascii="Verdana" w:hAnsi="Verdana"/>
          <w:color w:val="FF0000"/>
        </w:rPr>
        <w:t xml:space="preserve"> sertifikācija.</w:t>
      </w:r>
    </w:p>
    <w:p w:rsidR="00DC7DEC" w:rsidRPr="0075432F" w:rsidRDefault="00DC7DEC" w:rsidP="00DC7DEC">
      <w:pPr>
        <w:jc w:val="both"/>
        <w:rPr>
          <w:rFonts w:ascii="Verdana" w:hAnsi="Verdana"/>
          <w:szCs w:val="20"/>
        </w:rPr>
      </w:pPr>
    </w:p>
    <w:p w:rsidR="00DC7DEC" w:rsidRPr="0075432F" w:rsidRDefault="00DC7DEC" w:rsidP="00DC7DEC">
      <w:pPr>
        <w:pBdr>
          <w:top w:val="single" w:sz="4" w:space="1" w:color="auto"/>
          <w:left w:val="single" w:sz="4" w:space="4" w:color="auto"/>
          <w:bottom w:val="single" w:sz="4" w:space="1" w:color="auto"/>
          <w:right w:val="single" w:sz="4" w:space="4" w:color="auto"/>
        </w:pBdr>
        <w:jc w:val="center"/>
        <w:rPr>
          <w:rFonts w:ascii="Verdana" w:hAnsi="Verdana"/>
        </w:rPr>
      </w:pPr>
      <w:r w:rsidRPr="0075432F">
        <w:rPr>
          <w:rFonts w:ascii="Verdana" w:hAnsi="Verdana"/>
        </w:rPr>
        <w:t xml:space="preserve">Šis riska novērtējums veikts, pamatojoties uz </w:t>
      </w:r>
      <w:r w:rsidRPr="0075432F">
        <w:rPr>
          <w:rFonts w:ascii="Verdana" w:hAnsi="Verdana"/>
          <w:i/>
        </w:rPr>
        <w:t>FEDIOL</w:t>
      </w:r>
      <w:r w:rsidRPr="0075432F">
        <w:rPr>
          <w:rFonts w:ascii="Verdana" w:hAnsi="Verdana"/>
        </w:rPr>
        <w:t xml:space="preserve"> nozares atsauces dokumentu par augu eļļu ražošanu (Eiropas labas prakses rokasgrāmata </w:t>
      </w:r>
      <w:r w:rsidR="00194198">
        <w:rPr>
          <w:rFonts w:ascii="Verdana" w:hAnsi="Verdana"/>
        </w:rPr>
        <w:t xml:space="preserve">par nekaitīgu </w:t>
      </w:r>
      <w:r w:rsidRPr="0075432F">
        <w:rPr>
          <w:rFonts w:ascii="Verdana" w:hAnsi="Verdana"/>
        </w:rPr>
        <w:t xml:space="preserve">barības </w:t>
      </w:r>
      <w:r w:rsidR="00194198">
        <w:rPr>
          <w:rFonts w:ascii="Verdana" w:hAnsi="Verdana"/>
        </w:rPr>
        <w:t xml:space="preserve">sastāvdaļu </w:t>
      </w:r>
      <w:r w:rsidRPr="0075432F">
        <w:rPr>
          <w:rFonts w:ascii="Verdana" w:hAnsi="Verdana"/>
        </w:rPr>
        <w:t>rūpniecisk</w:t>
      </w:r>
      <w:r w:rsidR="00D51E61">
        <w:rPr>
          <w:rFonts w:ascii="Verdana" w:hAnsi="Verdana"/>
        </w:rPr>
        <w:t>u</w:t>
      </w:r>
      <w:r w:rsidR="00194198">
        <w:rPr>
          <w:rFonts w:ascii="Verdana" w:hAnsi="Verdana"/>
        </w:rPr>
        <w:t xml:space="preserve"> ražošanu</w:t>
      </w:r>
      <w:r w:rsidRPr="0075432F">
        <w:rPr>
          <w:rFonts w:ascii="Verdana" w:hAnsi="Verdana"/>
        </w:rPr>
        <w:t>; 4. pielikums). Tāpēc aplūkotā procesa sākumpunkts ir ienākošā materiāla transportēšana.</w:t>
      </w:r>
    </w:p>
    <w:p w:rsidR="00DC7DEC" w:rsidRPr="0075432F" w:rsidRDefault="00DC7DEC" w:rsidP="00DC7DEC">
      <w:pPr>
        <w:jc w:val="both"/>
        <w:rPr>
          <w:rFonts w:ascii="Verdana" w:hAnsi="Verdana"/>
          <w:szCs w:val="20"/>
        </w:rPr>
      </w:pPr>
    </w:p>
    <w:p w:rsidR="00DC7DEC" w:rsidRPr="0075432F" w:rsidRDefault="00DC7DEC" w:rsidP="00DC7DEC">
      <w:pPr>
        <w:pStyle w:val="Heading1"/>
        <w:tabs>
          <w:tab w:val="clear" w:pos="432"/>
          <w:tab w:val="num" w:pos="408"/>
        </w:tabs>
        <w:rPr>
          <w:rFonts w:ascii="Verdana" w:hAnsi="Verdana"/>
        </w:rPr>
      </w:pPr>
      <w:bookmarkStart w:id="1" w:name="_Toc354998605"/>
      <w:bookmarkStart w:id="2" w:name="_Toc435977936"/>
      <w:r w:rsidRPr="0075432F">
        <w:rPr>
          <w:rFonts w:ascii="Verdana" w:hAnsi="Verdana"/>
        </w:rPr>
        <w:t>Ievads</w:t>
      </w:r>
      <w:bookmarkEnd w:id="1"/>
      <w:bookmarkEnd w:id="2"/>
      <w:r w:rsidRPr="0075432F">
        <w:rPr>
          <w:rFonts w:ascii="Verdana" w:hAnsi="Verdana"/>
        </w:rPr>
        <w:t xml:space="preserve"> </w:t>
      </w:r>
    </w:p>
    <w:p w:rsidR="00DC7DEC" w:rsidRPr="0075432F" w:rsidRDefault="00DC7DEC" w:rsidP="00DC7DEC">
      <w:pPr>
        <w:rPr>
          <w:rFonts w:ascii="Verdana" w:hAnsi="Verdana"/>
        </w:rPr>
      </w:pPr>
    </w:p>
    <w:p w:rsidR="00DC7DEC" w:rsidRPr="0075432F" w:rsidRDefault="00DC7DEC" w:rsidP="00DC7DEC">
      <w:pPr>
        <w:jc w:val="both"/>
        <w:rPr>
          <w:rFonts w:ascii="Verdana" w:hAnsi="Verdana"/>
        </w:rPr>
      </w:pPr>
      <w:r w:rsidRPr="0075432F">
        <w:rPr>
          <w:rFonts w:ascii="Verdana" w:hAnsi="Verdana"/>
        </w:rPr>
        <w:t>Eiropas Biodīzeļdegvielas padomes (turpmāk “</w:t>
      </w:r>
      <w:r w:rsidRPr="0075432F">
        <w:rPr>
          <w:rFonts w:ascii="Verdana" w:hAnsi="Verdana"/>
          <w:i/>
        </w:rPr>
        <w:t>EBB</w:t>
      </w:r>
      <w:r w:rsidRPr="0075432F">
        <w:rPr>
          <w:rFonts w:ascii="Verdana" w:hAnsi="Verdana"/>
        </w:rPr>
        <w:t xml:space="preserve">”) dalībnieki ražo ne vien biodīzeļdegvielu, bet arī vairākus atvasinātos produktus, ko izmanto dzīvnieku barībā un tehniskām vajadzībām. </w:t>
      </w:r>
      <w:r w:rsidRPr="0075432F">
        <w:rPr>
          <w:rFonts w:ascii="Verdana" w:hAnsi="Verdana"/>
          <w:i/>
        </w:rPr>
        <w:t>EBB</w:t>
      </w:r>
      <w:r w:rsidRPr="0075432F">
        <w:rPr>
          <w:rFonts w:ascii="Verdana" w:hAnsi="Verdana"/>
        </w:rPr>
        <w:t xml:space="preserve"> aptver gandrīz 80 uzņēmumus un apvienības, kas atrodas 21 ES dalībvalstī. </w:t>
      </w:r>
    </w:p>
    <w:p w:rsidR="00DC7DEC" w:rsidRPr="0075432F" w:rsidRDefault="00DC7DEC" w:rsidP="00DC7DEC">
      <w:pPr>
        <w:jc w:val="both"/>
        <w:rPr>
          <w:rFonts w:ascii="Verdana" w:hAnsi="Verdana"/>
        </w:rPr>
      </w:pPr>
    </w:p>
    <w:p w:rsidR="00DC7DEC" w:rsidRPr="0075432F" w:rsidRDefault="00DC7DEC" w:rsidP="00DC7DEC">
      <w:pPr>
        <w:pStyle w:val="NoSpacing"/>
        <w:rPr>
          <w:rFonts w:ascii="Verdana" w:hAnsi="Verdana"/>
        </w:rPr>
      </w:pPr>
      <w:r w:rsidRPr="0075432F">
        <w:rPr>
          <w:rFonts w:ascii="Verdana" w:hAnsi="Verdana"/>
          <w:i/>
        </w:rPr>
        <w:t>EBB</w:t>
      </w:r>
      <w:r w:rsidRPr="0075432F">
        <w:rPr>
          <w:rFonts w:ascii="Verdana" w:hAnsi="Verdana"/>
        </w:rPr>
        <w:t xml:space="preserve"> dalībnieki ir apņēmušies ražot nekaitīgas barības sastāvdaļas un apliecināt, ka tie ievēro Eiropas </w:t>
      </w:r>
      <w:r w:rsidR="0082690F" w:rsidRPr="0075432F">
        <w:rPr>
          <w:rFonts w:ascii="Verdana" w:hAnsi="Verdana"/>
        </w:rPr>
        <w:t xml:space="preserve">prasības </w:t>
      </w:r>
      <w:r w:rsidR="0082690F">
        <w:rPr>
          <w:rFonts w:ascii="Verdana" w:hAnsi="Verdana"/>
        </w:rPr>
        <w:t>attiecībā uz veselīgumu</w:t>
      </w:r>
      <w:r w:rsidRPr="0075432F">
        <w:rPr>
          <w:rFonts w:ascii="Verdana" w:hAnsi="Verdana"/>
        </w:rPr>
        <w:t xml:space="preserve"> un nekaitīgum</w:t>
      </w:r>
      <w:r w:rsidR="0082690F">
        <w:rPr>
          <w:rFonts w:ascii="Verdana" w:hAnsi="Verdana"/>
        </w:rPr>
        <w:t>u</w:t>
      </w:r>
      <w:r w:rsidRPr="0075432F">
        <w:rPr>
          <w:rFonts w:ascii="Verdana" w:hAnsi="Verdana"/>
        </w:rPr>
        <w:t xml:space="preserve">, jo īpaši prasības, kas noteiktas Regulā (EK) Nr. 183/2005, ar ko paredz barības higiēnas prasības, kā arī saistībā ar </w:t>
      </w:r>
      <w:r w:rsidR="0082690F">
        <w:rPr>
          <w:rFonts w:ascii="Verdana" w:hAnsi="Verdana"/>
        </w:rPr>
        <w:t>b</w:t>
      </w:r>
      <w:r w:rsidRPr="0075432F">
        <w:rPr>
          <w:rFonts w:ascii="Verdana" w:hAnsi="Verdana"/>
        </w:rPr>
        <w:t xml:space="preserve">arības sastāvdaļu reģistru (Regula (ES) Nr. 68/2013). </w:t>
      </w:r>
    </w:p>
    <w:p w:rsidR="00DC7DEC" w:rsidRPr="0075432F" w:rsidRDefault="00DC7DEC" w:rsidP="00DC7DEC">
      <w:pPr>
        <w:pStyle w:val="NoSpacing"/>
        <w:rPr>
          <w:rFonts w:ascii="Verdana" w:hAnsi="Verdana"/>
        </w:rPr>
      </w:pPr>
    </w:p>
    <w:p w:rsidR="00DC7DEC" w:rsidRPr="0075432F" w:rsidRDefault="00DC7DEC" w:rsidP="00DC7DEC">
      <w:pPr>
        <w:pStyle w:val="NoSpacing"/>
        <w:rPr>
          <w:rFonts w:ascii="Verdana" w:hAnsi="Verdana"/>
        </w:rPr>
      </w:pPr>
      <w:r w:rsidRPr="0075432F">
        <w:rPr>
          <w:rFonts w:ascii="Verdana" w:hAnsi="Verdana"/>
        </w:rPr>
        <w:t xml:space="preserve">Biodīzeļdegviela ir atjaunojams kurināmais un fosilo kurināmo ilgtspējīga alternatīva. Biodīzeļdegvielas izmantošana ne vien samazina Eiropas transportlīdzekļu radītās siltumnīcefekta gāzu emisijas, bet arī nodrošina lielu apjomu glicerīna, ko izmanto dzīvnieku barībā, un citus blakusproduktus, ko izmanto tehniskām vajadzībām. </w:t>
      </w:r>
    </w:p>
    <w:p w:rsidR="00DC7DEC" w:rsidRPr="0075432F" w:rsidRDefault="00DC7DEC" w:rsidP="00DC7DEC">
      <w:pPr>
        <w:pStyle w:val="NoSpacing"/>
        <w:rPr>
          <w:rFonts w:ascii="Verdana" w:hAnsi="Verdana"/>
        </w:rPr>
      </w:pPr>
    </w:p>
    <w:p w:rsidR="00DC7DEC" w:rsidRPr="0075432F" w:rsidRDefault="00DC7DEC" w:rsidP="00DC7DEC">
      <w:pPr>
        <w:pStyle w:val="NoSpacing"/>
        <w:rPr>
          <w:rFonts w:ascii="Verdana" w:hAnsi="Verdana"/>
        </w:rPr>
      </w:pPr>
      <w:r w:rsidRPr="0075432F">
        <w:rPr>
          <w:rFonts w:ascii="Verdana" w:hAnsi="Verdana"/>
        </w:rPr>
        <w:t xml:space="preserve">Šā dokumenta mērķis ir atbalstīt biodīzeļdegvielas rūpnīcas saistībā ar nekaitīgu barības sastāvdaļu nodrošināšanu. </w:t>
      </w:r>
      <w:r w:rsidRPr="0075432F">
        <w:rPr>
          <w:rFonts w:ascii="Verdana" w:hAnsi="Verdana"/>
          <w:i/>
        </w:rPr>
        <w:t>EBB</w:t>
      </w:r>
      <w:r w:rsidRPr="0075432F">
        <w:rPr>
          <w:rFonts w:ascii="Verdana" w:hAnsi="Verdana"/>
        </w:rPr>
        <w:t xml:space="preserve"> ir veikusi to barības sastāvdaļu ķēdes riska novērtējumus, kas tiek ražotas no galvenajiem ienākošajiem materiāliem, kurus pārstrādā tās uzņēmumi. Šie novērtējumi piedāvā biodīzeļdegvielas ražotājiem rīku</w:t>
      </w:r>
      <w:r w:rsidR="0082690F">
        <w:rPr>
          <w:rFonts w:ascii="Verdana" w:hAnsi="Verdana"/>
        </w:rPr>
        <w:t xml:space="preserve">, ar ko novērtēt </w:t>
      </w:r>
      <w:r w:rsidRPr="0075432F">
        <w:rPr>
          <w:rFonts w:ascii="Verdana" w:hAnsi="Verdana"/>
        </w:rPr>
        <w:t>barības nekaitīguma pārvaldības sistēm</w:t>
      </w:r>
      <w:r w:rsidR="0082690F">
        <w:rPr>
          <w:rFonts w:ascii="Verdana" w:hAnsi="Verdana"/>
        </w:rPr>
        <w:t>as</w:t>
      </w:r>
      <w:r w:rsidRPr="0075432F">
        <w:rPr>
          <w:rFonts w:ascii="Verdana" w:hAnsi="Verdana"/>
        </w:rPr>
        <w:t>. Tie kalpo arī kā atbalsts šiem ražotājiem dialoga veidošanas procesā ar klientiem, piegādātājiem un citām ieinteresētām personām par jautājumiem attiecībā uz ķēdes kontroli. Riska novērtējumos, kuros minēti kontroles pasākumi, ir sīkāk izklāstīta riska analīzes un kritisko kontrolpunktu noteikšanas (</w:t>
      </w:r>
      <w:r w:rsidRPr="0075432F">
        <w:rPr>
          <w:rFonts w:ascii="Verdana" w:hAnsi="Verdana"/>
          <w:i/>
        </w:rPr>
        <w:t>HACCP</w:t>
      </w:r>
      <w:r w:rsidRPr="0075432F">
        <w:rPr>
          <w:rFonts w:ascii="Verdana" w:hAnsi="Verdana"/>
        </w:rPr>
        <w:t xml:space="preserve">) koncepcija un ar to saistītās priekšnosacījumu programmas, kas minētas šim dokumentam pievienotās </w:t>
      </w:r>
      <w:r w:rsidR="00DD1F2D">
        <w:rPr>
          <w:rFonts w:ascii="Verdana" w:hAnsi="Verdana"/>
        </w:rPr>
        <w:t>Eiropas</w:t>
      </w:r>
      <w:r w:rsidRPr="0075432F">
        <w:rPr>
          <w:rFonts w:ascii="Verdana" w:hAnsi="Verdana"/>
        </w:rPr>
        <w:t xml:space="preserve"> rokasgrāmatas 5. un 6. nodaļā. </w:t>
      </w:r>
    </w:p>
    <w:p w:rsidR="00DC7DEC" w:rsidRPr="0075432F" w:rsidRDefault="00DC7DEC" w:rsidP="00DC7DEC">
      <w:pPr>
        <w:pStyle w:val="NoSpacing"/>
        <w:rPr>
          <w:rFonts w:ascii="Verdana" w:hAnsi="Verdana"/>
        </w:rPr>
      </w:pPr>
    </w:p>
    <w:p w:rsidR="00DC7DEC" w:rsidRPr="0075432F" w:rsidRDefault="00DC7DEC" w:rsidP="00DC7DEC">
      <w:pPr>
        <w:pStyle w:val="NoSpacing"/>
        <w:rPr>
          <w:rFonts w:ascii="Verdana" w:hAnsi="Verdana"/>
        </w:rPr>
      </w:pPr>
      <w:r w:rsidRPr="0075432F">
        <w:rPr>
          <w:rFonts w:ascii="Verdana" w:hAnsi="Verdana"/>
          <w:i/>
        </w:rPr>
        <w:t>EBB</w:t>
      </w:r>
      <w:r w:rsidRPr="0075432F">
        <w:rPr>
          <w:rFonts w:ascii="Verdana" w:hAnsi="Verdana"/>
        </w:rPr>
        <w:t xml:space="preserve"> vēlas uzsvērt, ka par nekaitīgas barības piegādi pirmkārt ir atbildīgi uzņēmumi un šā riska novērtējuma izmantošana neatbrīvo tos no atbildības. </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rPr>
      </w:pPr>
    </w:p>
    <w:p w:rsidR="00DC7DEC" w:rsidRPr="0075432F" w:rsidRDefault="00DC7DEC" w:rsidP="00DC7DEC">
      <w:pPr>
        <w:jc w:val="center"/>
        <w:rPr>
          <w:rFonts w:ascii="Verdana" w:hAnsi="Verdana"/>
          <w:b/>
          <w:sz w:val="22"/>
          <w:szCs w:val="22"/>
        </w:rPr>
      </w:pPr>
      <w:r w:rsidRPr="0075432F">
        <w:rPr>
          <w:rFonts w:ascii="Verdana" w:hAnsi="Verdana"/>
        </w:rPr>
        <w:br w:type="page"/>
      </w:r>
      <w:r w:rsidRPr="0075432F">
        <w:rPr>
          <w:rFonts w:ascii="Verdana" w:hAnsi="Verdana"/>
          <w:b/>
          <w:sz w:val="22"/>
        </w:rPr>
        <w:lastRenderedPageBreak/>
        <w:t>Saturs</w:t>
      </w:r>
    </w:p>
    <w:p w:rsidR="00DC7DEC" w:rsidRPr="0075432F" w:rsidRDefault="00DC7DEC" w:rsidP="00DC7DEC">
      <w:pPr>
        <w:jc w:val="center"/>
        <w:rPr>
          <w:rFonts w:ascii="Verdana" w:hAnsi="Verdana"/>
          <w:b/>
          <w:sz w:val="22"/>
          <w:szCs w:val="22"/>
        </w:rPr>
      </w:pPr>
    </w:p>
    <w:p w:rsidR="00861F33" w:rsidRPr="0075432F" w:rsidRDefault="00A20C5C">
      <w:pPr>
        <w:pStyle w:val="TOC1"/>
        <w:rPr>
          <w:rFonts w:asciiTheme="minorHAnsi" w:eastAsiaTheme="minorEastAsia" w:hAnsiTheme="minorHAnsi" w:cstheme="minorBidi"/>
          <w:b w:val="0"/>
          <w:sz w:val="22"/>
          <w:szCs w:val="22"/>
          <w:lang w:bidi="ar-SA"/>
        </w:rPr>
      </w:pPr>
      <w:r w:rsidRPr="0075432F">
        <w:fldChar w:fldCharType="begin"/>
      </w:r>
      <w:r w:rsidR="00DC7DEC" w:rsidRPr="0075432F">
        <w:instrText xml:space="preserve"> TOC \o "1-3" \h \z \u </w:instrText>
      </w:r>
      <w:r w:rsidRPr="0075432F">
        <w:fldChar w:fldCharType="separate"/>
      </w:r>
      <w:hyperlink w:anchor="_Toc435977936" w:history="1">
        <w:r w:rsidR="00861F33" w:rsidRPr="0075432F">
          <w:rPr>
            <w:rStyle w:val="Hyperlink"/>
          </w:rPr>
          <w:t>1.</w:t>
        </w:r>
        <w:r w:rsidR="00861F33" w:rsidRPr="0075432F">
          <w:rPr>
            <w:rFonts w:asciiTheme="minorHAnsi" w:eastAsiaTheme="minorEastAsia" w:hAnsiTheme="minorHAnsi" w:cstheme="minorBidi"/>
            <w:b w:val="0"/>
            <w:sz w:val="22"/>
            <w:szCs w:val="22"/>
            <w:lang w:bidi="ar-SA"/>
          </w:rPr>
          <w:tab/>
        </w:r>
        <w:r w:rsidR="00861F33" w:rsidRPr="0075432F">
          <w:rPr>
            <w:rStyle w:val="Hyperlink"/>
          </w:rPr>
          <w:t>Ievads</w:t>
        </w:r>
        <w:r w:rsidR="00861F33" w:rsidRPr="0075432F">
          <w:rPr>
            <w:webHidden/>
          </w:rPr>
          <w:tab/>
        </w:r>
        <w:r w:rsidR="00861F33" w:rsidRPr="0075432F">
          <w:rPr>
            <w:webHidden/>
          </w:rPr>
          <w:fldChar w:fldCharType="begin"/>
        </w:r>
        <w:r w:rsidR="00861F33" w:rsidRPr="0075432F">
          <w:rPr>
            <w:webHidden/>
          </w:rPr>
          <w:instrText xml:space="preserve"> PAGEREF _Toc435977936 \h </w:instrText>
        </w:r>
        <w:r w:rsidR="00861F33" w:rsidRPr="0075432F">
          <w:rPr>
            <w:webHidden/>
          </w:rPr>
        </w:r>
        <w:r w:rsidR="00861F33" w:rsidRPr="0075432F">
          <w:rPr>
            <w:webHidden/>
          </w:rPr>
          <w:fldChar w:fldCharType="separate"/>
        </w:r>
        <w:r w:rsidR="00E350CD">
          <w:rPr>
            <w:webHidden/>
          </w:rPr>
          <w:t>3</w:t>
        </w:r>
        <w:r w:rsidR="00861F33" w:rsidRPr="0075432F">
          <w:rPr>
            <w:webHidden/>
          </w:rPr>
          <w:fldChar w:fldCharType="end"/>
        </w:r>
      </w:hyperlink>
    </w:p>
    <w:p w:rsidR="00861F33" w:rsidRPr="0075432F" w:rsidRDefault="006B31B7">
      <w:pPr>
        <w:pStyle w:val="TOC1"/>
        <w:rPr>
          <w:rFonts w:asciiTheme="minorHAnsi" w:eastAsiaTheme="minorEastAsia" w:hAnsiTheme="minorHAnsi" w:cstheme="minorBidi"/>
          <w:b w:val="0"/>
          <w:sz w:val="22"/>
          <w:szCs w:val="22"/>
          <w:lang w:bidi="ar-SA"/>
        </w:rPr>
      </w:pPr>
      <w:hyperlink w:anchor="_Toc435977937" w:history="1">
        <w:r w:rsidR="00861F33" w:rsidRPr="0075432F">
          <w:rPr>
            <w:rStyle w:val="Hyperlink"/>
          </w:rPr>
          <w:t>2.</w:t>
        </w:r>
        <w:r w:rsidR="00861F33" w:rsidRPr="0075432F">
          <w:rPr>
            <w:rFonts w:asciiTheme="minorHAnsi" w:eastAsiaTheme="minorEastAsia" w:hAnsiTheme="minorHAnsi" w:cstheme="minorBidi"/>
            <w:b w:val="0"/>
            <w:sz w:val="22"/>
            <w:szCs w:val="22"/>
            <w:lang w:bidi="ar-SA"/>
          </w:rPr>
          <w:tab/>
        </w:r>
        <w:r w:rsidR="00861F33" w:rsidRPr="0075432F">
          <w:rPr>
            <w:rStyle w:val="Hyperlink"/>
          </w:rPr>
          <w:t>Barības sastāvdaļu uzskaitījums</w:t>
        </w:r>
        <w:r w:rsidR="00861F33" w:rsidRPr="0075432F">
          <w:rPr>
            <w:webHidden/>
          </w:rPr>
          <w:tab/>
        </w:r>
        <w:r w:rsidR="00861F33" w:rsidRPr="0075432F">
          <w:rPr>
            <w:webHidden/>
          </w:rPr>
          <w:fldChar w:fldCharType="begin"/>
        </w:r>
        <w:r w:rsidR="00861F33" w:rsidRPr="0075432F">
          <w:rPr>
            <w:webHidden/>
          </w:rPr>
          <w:instrText xml:space="preserve"> PAGEREF _Toc435977937 \h </w:instrText>
        </w:r>
        <w:r w:rsidR="00861F33" w:rsidRPr="0075432F">
          <w:rPr>
            <w:webHidden/>
          </w:rPr>
        </w:r>
        <w:r w:rsidR="00861F33" w:rsidRPr="0075432F">
          <w:rPr>
            <w:webHidden/>
          </w:rPr>
          <w:fldChar w:fldCharType="separate"/>
        </w:r>
        <w:r w:rsidR="00E350CD">
          <w:rPr>
            <w:webHidden/>
          </w:rPr>
          <w:t>5</w:t>
        </w:r>
        <w:r w:rsidR="00861F33" w:rsidRPr="0075432F">
          <w:rPr>
            <w:webHidden/>
          </w:rPr>
          <w:fldChar w:fldCharType="end"/>
        </w:r>
      </w:hyperlink>
    </w:p>
    <w:p w:rsidR="00861F33" w:rsidRPr="0075432F" w:rsidRDefault="006B31B7">
      <w:pPr>
        <w:pStyle w:val="TOC1"/>
        <w:rPr>
          <w:rFonts w:asciiTheme="minorHAnsi" w:eastAsiaTheme="minorEastAsia" w:hAnsiTheme="minorHAnsi" w:cstheme="minorBidi"/>
          <w:b w:val="0"/>
          <w:sz w:val="22"/>
          <w:szCs w:val="22"/>
          <w:lang w:bidi="ar-SA"/>
        </w:rPr>
      </w:pPr>
      <w:hyperlink w:anchor="_Toc435977938" w:history="1">
        <w:r w:rsidR="00861F33" w:rsidRPr="0075432F">
          <w:rPr>
            <w:rStyle w:val="Hyperlink"/>
          </w:rPr>
          <w:t>3.</w:t>
        </w:r>
        <w:r w:rsidR="00861F33" w:rsidRPr="0075432F">
          <w:rPr>
            <w:rFonts w:asciiTheme="minorHAnsi" w:eastAsiaTheme="minorEastAsia" w:hAnsiTheme="minorHAnsi" w:cstheme="minorBidi"/>
            <w:b w:val="0"/>
            <w:sz w:val="22"/>
            <w:szCs w:val="22"/>
            <w:lang w:bidi="ar-SA"/>
          </w:rPr>
          <w:tab/>
        </w:r>
        <w:r w:rsidR="00861F33" w:rsidRPr="0075432F">
          <w:rPr>
            <w:rStyle w:val="Hyperlink"/>
          </w:rPr>
          <w:t>Biodīzeļdegvielas ražošanas procesa apraksts</w:t>
        </w:r>
        <w:r w:rsidR="00861F33" w:rsidRPr="0075432F">
          <w:rPr>
            <w:webHidden/>
          </w:rPr>
          <w:tab/>
        </w:r>
        <w:r w:rsidR="00861F33" w:rsidRPr="0075432F">
          <w:rPr>
            <w:webHidden/>
          </w:rPr>
          <w:fldChar w:fldCharType="begin"/>
        </w:r>
        <w:r w:rsidR="00861F33" w:rsidRPr="0075432F">
          <w:rPr>
            <w:webHidden/>
          </w:rPr>
          <w:instrText xml:space="preserve"> PAGEREF _Toc435977938 \h </w:instrText>
        </w:r>
        <w:r w:rsidR="00861F33" w:rsidRPr="0075432F">
          <w:rPr>
            <w:webHidden/>
          </w:rPr>
        </w:r>
        <w:r w:rsidR="00861F33" w:rsidRPr="0075432F">
          <w:rPr>
            <w:webHidden/>
          </w:rPr>
          <w:fldChar w:fldCharType="separate"/>
        </w:r>
        <w:r w:rsidR="00E350CD">
          <w:rPr>
            <w:webHidden/>
          </w:rPr>
          <w:t>7</w:t>
        </w:r>
        <w:r w:rsidR="00861F33" w:rsidRPr="0075432F">
          <w:rPr>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39" w:history="1">
        <w:r w:rsidR="00861F33" w:rsidRPr="0075432F">
          <w:rPr>
            <w:rStyle w:val="Hyperlink"/>
            <w:rFonts w:ascii="Verdana" w:hAnsi="Verdana"/>
            <w:noProof/>
          </w:rPr>
          <w:t>3.1.</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Augu eļļas saņemšana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_Toc435977939 \h </w:instrText>
        </w:r>
        <w:r w:rsidR="00861F33" w:rsidRPr="0075432F">
          <w:rPr>
            <w:noProof/>
            <w:webHidden/>
          </w:rPr>
        </w:r>
        <w:r w:rsidR="00861F33" w:rsidRPr="0075432F">
          <w:rPr>
            <w:noProof/>
            <w:webHidden/>
          </w:rPr>
          <w:fldChar w:fldCharType="separate"/>
        </w:r>
        <w:r w:rsidR="00E350CD">
          <w:rPr>
            <w:noProof/>
            <w:webHidden/>
          </w:rPr>
          <w:t>7</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0" w:history="1">
        <w:r w:rsidR="00861F33" w:rsidRPr="0075432F">
          <w:rPr>
            <w:rStyle w:val="Hyperlink"/>
            <w:rFonts w:ascii="Verdana" w:hAnsi="Verdana"/>
            <w:noProof/>
          </w:rPr>
          <w:t>3.2.</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Reakcijas posms / pāresterificēšana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_Toc435977940 \h </w:instrText>
        </w:r>
        <w:r w:rsidR="00861F33" w:rsidRPr="0075432F">
          <w:rPr>
            <w:noProof/>
            <w:webHidden/>
          </w:rPr>
        </w:r>
        <w:r w:rsidR="00861F33" w:rsidRPr="0075432F">
          <w:rPr>
            <w:noProof/>
            <w:webHidden/>
          </w:rPr>
          <w:fldChar w:fldCharType="separate"/>
        </w:r>
        <w:r w:rsidR="00E350CD">
          <w:rPr>
            <w:noProof/>
            <w:webHidden/>
          </w:rPr>
          <w:t>7</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1" w:history="1">
        <w:r w:rsidR="00861F33" w:rsidRPr="0075432F">
          <w:rPr>
            <w:rStyle w:val="Hyperlink"/>
            <w:rFonts w:ascii="Verdana" w:hAnsi="Verdana"/>
            <w:noProof/>
          </w:rPr>
          <w:t>3.3.</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Atdalīšanas posms</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_Toc435977941 \h </w:instrText>
        </w:r>
        <w:r w:rsidR="00861F33" w:rsidRPr="0075432F">
          <w:rPr>
            <w:noProof/>
            <w:webHidden/>
          </w:rPr>
        </w:r>
        <w:r w:rsidR="00861F33" w:rsidRPr="0075432F">
          <w:rPr>
            <w:noProof/>
            <w:webHidden/>
          </w:rPr>
          <w:fldChar w:fldCharType="separate"/>
        </w:r>
        <w:r w:rsidR="00E350CD">
          <w:rPr>
            <w:noProof/>
            <w:webHidden/>
          </w:rPr>
          <w:t>8</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2" w:history="1">
        <w:r w:rsidR="00861F33" w:rsidRPr="0075432F">
          <w:rPr>
            <w:rStyle w:val="Hyperlink"/>
            <w:rFonts w:ascii="Verdana" w:hAnsi="Verdana"/>
            <w:noProof/>
          </w:rPr>
          <w:t>3.4.</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Paskābināšana un BT atdalīšana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_Toc435977942 \h </w:instrText>
        </w:r>
        <w:r w:rsidR="00861F33" w:rsidRPr="0075432F">
          <w:rPr>
            <w:noProof/>
            <w:webHidden/>
          </w:rPr>
        </w:r>
        <w:r w:rsidR="00861F33" w:rsidRPr="0075432F">
          <w:rPr>
            <w:noProof/>
            <w:webHidden/>
          </w:rPr>
          <w:fldChar w:fldCharType="separate"/>
        </w:r>
        <w:r w:rsidR="00E350CD">
          <w:rPr>
            <w:noProof/>
            <w:webHidden/>
          </w:rPr>
          <w:t>8</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3" w:history="1">
        <w:r w:rsidR="00861F33" w:rsidRPr="0075432F">
          <w:rPr>
            <w:rStyle w:val="Hyperlink"/>
            <w:rFonts w:ascii="Verdana" w:hAnsi="Verdana"/>
            <w:noProof/>
          </w:rPr>
          <w:t>3.5.</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Glicerīna neitralizācija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_Toc435977943 \h </w:instrText>
        </w:r>
        <w:r w:rsidR="00861F33" w:rsidRPr="0075432F">
          <w:rPr>
            <w:noProof/>
            <w:webHidden/>
          </w:rPr>
        </w:r>
        <w:r w:rsidR="00861F33" w:rsidRPr="0075432F">
          <w:rPr>
            <w:noProof/>
            <w:webHidden/>
          </w:rPr>
          <w:fldChar w:fldCharType="separate"/>
        </w:r>
        <w:r w:rsidR="00E350CD">
          <w:rPr>
            <w:noProof/>
            <w:webHidden/>
          </w:rPr>
          <w:t>8</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4" w:history="1">
        <w:r w:rsidR="00861F33" w:rsidRPr="0075432F">
          <w:rPr>
            <w:rStyle w:val="Hyperlink"/>
            <w:rFonts w:ascii="Verdana" w:hAnsi="Verdana"/>
            <w:noProof/>
          </w:rPr>
          <w:t>3.6.</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Metilesteru skalošana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_Toc435977944 \h </w:instrText>
        </w:r>
        <w:r w:rsidR="00861F33" w:rsidRPr="0075432F">
          <w:rPr>
            <w:noProof/>
            <w:webHidden/>
          </w:rPr>
        </w:r>
        <w:r w:rsidR="00861F33" w:rsidRPr="0075432F">
          <w:rPr>
            <w:noProof/>
            <w:webHidden/>
          </w:rPr>
          <w:fldChar w:fldCharType="separate"/>
        </w:r>
        <w:r w:rsidR="00E350CD">
          <w:rPr>
            <w:noProof/>
            <w:webHidden/>
          </w:rPr>
          <w:t>8</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5" w:history="1">
        <w:r w:rsidR="00861F33" w:rsidRPr="0075432F">
          <w:rPr>
            <w:rStyle w:val="Hyperlink"/>
            <w:rFonts w:ascii="Verdana" w:hAnsi="Verdana"/>
            <w:noProof/>
          </w:rPr>
          <w:t>3.7.</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Uzglabāšana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_Toc435977945 \h </w:instrText>
        </w:r>
        <w:r w:rsidR="00861F33" w:rsidRPr="0075432F">
          <w:rPr>
            <w:noProof/>
            <w:webHidden/>
          </w:rPr>
        </w:r>
        <w:r w:rsidR="00861F33" w:rsidRPr="0075432F">
          <w:rPr>
            <w:noProof/>
            <w:webHidden/>
          </w:rPr>
          <w:fldChar w:fldCharType="separate"/>
        </w:r>
        <w:r w:rsidR="00E350CD">
          <w:rPr>
            <w:noProof/>
            <w:webHidden/>
          </w:rPr>
          <w:t>8</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6" w:history="1">
        <w:r w:rsidR="00861F33" w:rsidRPr="0075432F">
          <w:rPr>
            <w:rStyle w:val="Hyperlink"/>
            <w:rFonts w:ascii="Verdana" w:hAnsi="Verdana"/>
            <w:noProof/>
          </w:rPr>
          <w:t>3.8.</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Transportēšana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_Toc435977946 \h </w:instrText>
        </w:r>
        <w:r w:rsidR="00861F33" w:rsidRPr="0075432F">
          <w:rPr>
            <w:noProof/>
            <w:webHidden/>
          </w:rPr>
        </w:r>
        <w:r w:rsidR="00861F33" w:rsidRPr="0075432F">
          <w:rPr>
            <w:noProof/>
            <w:webHidden/>
          </w:rPr>
          <w:fldChar w:fldCharType="separate"/>
        </w:r>
        <w:r w:rsidR="00E350CD">
          <w:rPr>
            <w:noProof/>
            <w:webHidden/>
          </w:rPr>
          <w:t>8</w:t>
        </w:r>
        <w:r w:rsidR="00861F33" w:rsidRPr="0075432F">
          <w:rPr>
            <w:noProof/>
            <w:webHidden/>
          </w:rPr>
          <w:fldChar w:fldCharType="end"/>
        </w:r>
      </w:hyperlink>
    </w:p>
    <w:p w:rsidR="00861F33" w:rsidRPr="0075432F" w:rsidRDefault="006B31B7">
      <w:pPr>
        <w:pStyle w:val="TOC1"/>
        <w:rPr>
          <w:rFonts w:asciiTheme="minorHAnsi" w:eastAsiaTheme="minorEastAsia" w:hAnsiTheme="minorHAnsi" w:cstheme="minorBidi"/>
          <w:b w:val="0"/>
          <w:sz w:val="22"/>
          <w:szCs w:val="22"/>
          <w:lang w:bidi="ar-SA"/>
        </w:rPr>
      </w:pPr>
      <w:hyperlink w:anchor="_Toc435977947" w:history="1">
        <w:r w:rsidR="00861F33" w:rsidRPr="0075432F">
          <w:rPr>
            <w:rStyle w:val="Hyperlink"/>
          </w:rPr>
          <w:t>6.</w:t>
        </w:r>
        <w:r w:rsidR="00861F33" w:rsidRPr="0075432F">
          <w:rPr>
            <w:rFonts w:asciiTheme="minorHAnsi" w:eastAsiaTheme="minorEastAsia" w:hAnsiTheme="minorHAnsi" w:cstheme="minorBidi"/>
            <w:b w:val="0"/>
            <w:sz w:val="22"/>
            <w:szCs w:val="22"/>
            <w:lang w:bidi="ar-SA"/>
          </w:rPr>
          <w:tab/>
        </w:r>
        <w:r w:rsidR="00861F33" w:rsidRPr="0075432F">
          <w:rPr>
            <w:rStyle w:val="Hyperlink"/>
          </w:rPr>
          <w:t>Biodīzeļdegvielas ražošanas procesā īstenojamo darbību secības shēma</w:t>
        </w:r>
        <w:r w:rsidR="00861F33" w:rsidRPr="0075432F">
          <w:rPr>
            <w:webHidden/>
          </w:rPr>
          <w:tab/>
        </w:r>
        <w:r w:rsidR="00861F33" w:rsidRPr="0075432F">
          <w:rPr>
            <w:webHidden/>
          </w:rPr>
          <w:fldChar w:fldCharType="begin"/>
        </w:r>
        <w:r w:rsidR="00861F33" w:rsidRPr="0075432F">
          <w:rPr>
            <w:webHidden/>
          </w:rPr>
          <w:instrText xml:space="preserve"> PAGEREF _Toc435977947 \h </w:instrText>
        </w:r>
        <w:r w:rsidR="00861F33" w:rsidRPr="0075432F">
          <w:rPr>
            <w:webHidden/>
          </w:rPr>
        </w:r>
        <w:r w:rsidR="00861F33" w:rsidRPr="0075432F">
          <w:rPr>
            <w:webHidden/>
          </w:rPr>
          <w:fldChar w:fldCharType="separate"/>
        </w:r>
        <w:r w:rsidR="00E350CD">
          <w:rPr>
            <w:webHidden/>
          </w:rPr>
          <w:t>9</w:t>
        </w:r>
        <w:r w:rsidR="00861F33" w:rsidRPr="0075432F">
          <w:rPr>
            <w:webHidden/>
          </w:rPr>
          <w:fldChar w:fldCharType="end"/>
        </w:r>
      </w:hyperlink>
    </w:p>
    <w:p w:rsidR="00861F33" w:rsidRPr="0075432F" w:rsidRDefault="006B31B7">
      <w:pPr>
        <w:pStyle w:val="TOC1"/>
        <w:rPr>
          <w:rFonts w:asciiTheme="minorHAnsi" w:eastAsiaTheme="minorEastAsia" w:hAnsiTheme="minorHAnsi" w:cstheme="minorBidi"/>
          <w:b w:val="0"/>
          <w:sz w:val="22"/>
          <w:szCs w:val="22"/>
          <w:lang w:bidi="ar-SA"/>
        </w:rPr>
      </w:pPr>
      <w:hyperlink w:anchor="_Toc435977948" w:history="1">
        <w:r w:rsidR="00861F33" w:rsidRPr="0075432F">
          <w:rPr>
            <w:rStyle w:val="Hyperlink"/>
          </w:rPr>
          <w:t>7.</w:t>
        </w:r>
        <w:r w:rsidR="00861F33" w:rsidRPr="0075432F">
          <w:rPr>
            <w:rFonts w:asciiTheme="minorHAnsi" w:eastAsiaTheme="minorEastAsia" w:hAnsiTheme="minorHAnsi" w:cstheme="minorBidi"/>
            <w:b w:val="0"/>
            <w:sz w:val="22"/>
            <w:szCs w:val="22"/>
            <w:lang w:bidi="ar-SA"/>
          </w:rPr>
          <w:tab/>
        </w:r>
        <w:r w:rsidR="00861F33" w:rsidRPr="0075432F">
          <w:rPr>
            <w:rStyle w:val="Hyperlink"/>
          </w:rPr>
          <w:t>Riska novērtējums</w:t>
        </w:r>
        <w:r w:rsidR="00861F33" w:rsidRPr="0075432F">
          <w:rPr>
            <w:webHidden/>
          </w:rPr>
          <w:tab/>
        </w:r>
        <w:r w:rsidR="00861F33" w:rsidRPr="0075432F">
          <w:rPr>
            <w:webHidden/>
          </w:rPr>
          <w:fldChar w:fldCharType="begin"/>
        </w:r>
        <w:r w:rsidR="00861F33" w:rsidRPr="0075432F">
          <w:rPr>
            <w:webHidden/>
          </w:rPr>
          <w:instrText xml:space="preserve"> PAGEREF _Toc435977948 \h </w:instrText>
        </w:r>
        <w:r w:rsidR="00861F33" w:rsidRPr="0075432F">
          <w:rPr>
            <w:webHidden/>
          </w:rPr>
        </w:r>
        <w:r w:rsidR="00861F33" w:rsidRPr="0075432F">
          <w:rPr>
            <w:webHidden/>
          </w:rPr>
          <w:fldChar w:fldCharType="separate"/>
        </w:r>
        <w:r w:rsidR="00E350CD">
          <w:rPr>
            <w:webHidden/>
          </w:rPr>
          <w:t>10</w:t>
        </w:r>
        <w:r w:rsidR="00861F33" w:rsidRPr="0075432F">
          <w:rPr>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49" w:history="1">
        <w:r w:rsidR="00861F33" w:rsidRPr="0075432F">
          <w:rPr>
            <w:rStyle w:val="Hyperlink"/>
            <w:rFonts w:ascii="Verdana" w:hAnsi="Verdana"/>
            <w:noProof/>
          </w:rPr>
          <w:t>7.1.</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i/>
            <w:noProof/>
          </w:rPr>
          <w:t>EBB</w:t>
        </w:r>
        <w:r w:rsidR="00861F33" w:rsidRPr="0075432F">
          <w:rPr>
            <w:rStyle w:val="Hyperlink"/>
            <w:rFonts w:ascii="Verdana" w:hAnsi="Verdana"/>
            <w:noProof/>
          </w:rPr>
          <w:t xml:space="preserve"> veica barības nekaitīguma ķēdes riska novērtējumu šādiem ienākošajiem materiāliem</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_Toc435977949 \h </w:instrText>
        </w:r>
        <w:r w:rsidR="00861F33" w:rsidRPr="0075432F">
          <w:rPr>
            <w:noProof/>
            <w:webHidden/>
          </w:rPr>
        </w:r>
        <w:r w:rsidR="00861F33" w:rsidRPr="0075432F">
          <w:rPr>
            <w:noProof/>
            <w:webHidden/>
          </w:rPr>
          <w:fldChar w:fldCharType="separate"/>
        </w:r>
        <w:r w:rsidR="00E350CD">
          <w:rPr>
            <w:noProof/>
            <w:webHidden/>
          </w:rPr>
          <w:t>10</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50" w:history="1">
        <w:r w:rsidR="00861F33" w:rsidRPr="0075432F">
          <w:rPr>
            <w:rStyle w:val="Hyperlink"/>
            <w:rFonts w:ascii="Verdana" w:hAnsi="Verdana"/>
            <w:noProof/>
          </w:rPr>
          <w:t>7.2.</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Kopsavilkums par biodīzeļdegvielas nozarē izmantojamo, uz riska izvērtēšanu balstīto pieeju</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_Toc435977950 \h </w:instrText>
        </w:r>
        <w:r w:rsidR="00861F33" w:rsidRPr="0075432F">
          <w:rPr>
            <w:noProof/>
            <w:webHidden/>
          </w:rPr>
        </w:r>
        <w:r w:rsidR="00861F33" w:rsidRPr="0075432F">
          <w:rPr>
            <w:noProof/>
            <w:webHidden/>
          </w:rPr>
          <w:fldChar w:fldCharType="separate"/>
        </w:r>
        <w:r w:rsidR="00E350CD">
          <w:rPr>
            <w:noProof/>
            <w:webHidden/>
          </w:rPr>
          <w:t>10</w:t>
        </w:r>
        <w:r w:rsidR="00861F33" w:rsidRPr="0075432F">
          <w:rPr>
            <w:noProof/>
            <w:webHidden/>
          </w:rPr>
          <w:fldChar w:fldCharType="end"/>
        </w:r>
      </w:hyperlink>
    </w:p>
    <w:p w:rsidR="00861F33" w:rsidRPr="0075432F" w:rsidRDefault="006B31B7">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51" w:history="1">
        <w:r w:rsidR="00861F33" w:rsidRPr="0075432F">
          <w:rPr>
            <w:rStyle w:val="Hyperlink"/>
            <w:rFonts w:ascii="Verdana" w:hAnsi="Verdana"/>
            <w:noProof/>
          </w:rPr>
          <w:t>7.3.</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Uz riska izvērtēšanu balstīta pieeja tādu apdraudējumu raksturošanai, kas attiecināmi uz biodīzeļdegvielas ražošanas procesā iegūtām barības sastāvdaļām</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_Toc435977951 \h </w:instrText>
        </w:r>
        <w:r w:rsidR="00861F33" w:rsidRPr="0075432F">
          <w:rPr>
            <w:noProof/>
            <w:webHidden/>
          </w:rPr>
        </w:r>
        <w:r w:rsidR="00861F33" w:rsidRPr="0075432F">
          <w:rPr>
            <w:noProof/>
            <w:webHidden/>
          </w:rPr>
          <w:fldChar w:fldCharType="separate"/>
        </w:r>
        <w:r w:rsidR="00E350CD">
          <w:rPr>
            <w:noProof/>
            <w:webHidden/>
          </w:rPr>
          <w:t>11</w:t>
        </w:r>
        <w:r w:rsidR="00861F33" w:rsidRPr="0075432F">
          <w:rPr>
            <w:noProof/>
            <w:webHidden/>
          </w:rPr>
          <w:fldChar w:fldCharType="end"/>
        </w:r>
      </w:hyperlink>
    </w:p>
    <w:p w:rsidR="00861F33" w:rsidRPr="0075432F" w:rsidRDefault="006B31B7" w:rsidP="00861F33">
      <w:pPr>
        <w:pStyle w:val="TOC2"/>
        <w:tabs>
          <w:tab w:val="left" w:pos="880"/>
          <w:tab w:val="right" w:leader="dot" w:pos="8828"/>
        </w:tabs>
        <w:rPr>
          <w:rFonts w:asciiTheme="minorHAnsi" w:eastAsiaTheme="minorEastAsia" w:hAnsiTheme="minorHAnsi" w:cstheme="minorBidi"/>
          <w:noProof/>
          <w:sz w:val="22"/>
          <w:szCs w:val="22"/>
          <w:lang w:bidi="ar-SA"/>
        </w:rPr>
      </w:pPr>
      <w:hyperlink w:anchor="_Toc435977952" w:history="1">
        <w:r w:rsidR="00861F33" w:rsidRPr="0075432F">
          <w:rPr>
            <w:rStyle w:val="Hyperlink"/>
            <w:rFonts w:ascii="Verdana" w:hAnsi="Verdana"/>
            <w:noProof/>
          </w:rPr>
          <w:t>7.4.</w:t>
        </w:r>
        <w:r w:rsidR="00861F33" w:rsidRPr="0075432F">
          <w:rPr>
            <w:rFonts w:asciiTheme="minorHAnsi" w:eastAsiaTheme="minorEastAsia" w:hAnsiTheme="minorHAnsi" w:cstheme="minorBidi"/>
            <w:noProof/>
            <w:sz w:val="22"/>
            <w:szCs w:val="22"/>
            <w:lang w:bidi="ar-SA"/>
          </w:rPr>
          <w:tab/>
        </w:r>
        <w:r w:rsidR="00861F33" w:rsidRPr="0075432F">
          <w:rPr>
            <w:rStyle w:val="Hyperlink"/>
            <w:rFonts w:ascii="Verdana" w:hAnsi="Verdana"/>
            <w:noProof/>
          </w:rPr>
          <w:t>Riska novērtēšanas procedūra</w:t>
        </w:r>
        <w:r w:rsidR="00861F33" w:rsidRPr="0075432F">
          <w:rPr>
            <w:noProof/>
            <w:webHidden/>
          </w:rPr>
          <w:tab/>
        </w:r>
        <w:r w:rsidR="00861F33" w:rsidRPr="0075432F">
          <w:rPr>
            <w:noProof/>
            <w:webHidden/>
          </w:rPr>
          <w:fldChar w:fldCharType="begin"/>
        </w:r>
        <w:r w:rsidR="00861F33" w:rsidRPr="0075432F">
          <w:rPr>
            <w:noProof/>
            <w:webHidden/>
          </w:rPr>
          <w:instrText xml:space="preserve"> PAGEREF _Toc435977952 \h </w:instrText>
        </w:r>
        <w:r w:rsidR="00861F33" w:rsidRPr="0075432F">
          <w:rPr>
            <w:noProof/>
            <w:webHidden/>
          </w:rPr>
        </w:r>
        <w:r w:rsidR="00861F33" w:rsidRPr="0075432F">
          <w:rPr>
            <w:noProof/>
            <w:webHidden/>
          </w:rPr>
          <w:fldChar w:fldCharType="separate"/>
        </w:r>
        <w:r w:rsidR="00E350CD">
          <w:rPr>
            <w:noProof/>
            <w:webHidden/>
          </w:rPr>
          <w:t>12</w:t>
        </w:r>
        <w:r w:rsidR="00861F33" w:rsidRPr="0075432F">
          <w:rPr>
            <w:noProof/>
            <w:webHidden/>
          </w:rPr>
          <w:fldChar w:fldCharType="end"/>
        </w:r>
      </w:hyperlink>
    </w:p>
    <w:p w:rsidR="00861F33" w:rsidRPr="0075432F" w:rsidRDefault="006B31B7">
      <w:pPr>
        <w:pStyle w:val="TOC1"/>
        <w:rPr>
          <w:rFonts w:asciiTheme="minorHAnsi" w:eastAsiaTheme="minorEastAsia" w:hAnsiTheme="minorHAnsi" w:cstheme="minorBidi"/>
          <w:b w:val="0"/>
          <w:sz w:val="22"/>
          <w:szCs w:val="22"/>
          <w:lang w:bidi="ar-SA"/>
        </w:rPr>
      </w:pPr>
      <w:hyperlink w:anchor="_Toc435977960" w:history="1">
        <w:r w:rsidR="00861F33" w:rsidRPr="0075432F">
          <w:rPr>
            <w:rStyle w:val="Hyperlink"/>
          </w:rPr>
          <w:t>8. Uz riska izvērtēšanu balstīta pieeja attiecībā uz glicerīnu</w:t>
        </w:r>
        <w:r w:rsidR="00861F33" w:rsidRPr="0075432F">
          <w:rPr>
            <w:webHidden/>
          </w:rPr>
          <w:tab/>
        </w:r>
        <w:r w:rsidR="00861F33" w:rsidRPr="0075432F">
          <w:rPr>
            <w:webHidden/>
          </w:rPr>
          <w:fldChar w:fldCharType="begin"/>
        </w:r>
        <w:r w:rsidR="00861F33" w:rsidRPr="0075432F">
          <w:rPr>
            <w:webHidden/>
          </w:rPr>
          <w:instrText xml:space="preserve"> PAGEREF _Toc435977960 \h </w:instrText>
        </w:r>
        <w:r w:rsidR="00861F33" w:rsidRPr="0075432F">
          <w:rPr>
            <w:webHidden/>
          </w:rPr>
        </w:r>
        <w:r w:rsidR="00861F33" w:rsidRPr="0075432F">
          <w:rPr>
            <w:webHidden/>
          </w:rPr>
          <w:fldChar w:fldCharType="separate"/>
        </w:r>
        <w:r w:rsidR="00E350CD">
          <w:rPr>
            <w:webHidden/>
          </w:rPr>
          <w:t>13</w:t>
        </w:r>
        <w:r w:rsidR="00861F33" w:rsidRPr="0075432F">
          <w:rPr>
            <w:webHidden/>
          </w:rPr>
          <w:fldChar w:fldCharType="end"/>
        </w:r>
      </w:hyperlink>
    </w:p>
    <w:p w:rsidR="00861F33" w:rsidRPr="0075432F" w:rsidRDefault="006B31B7">
      <w:pPr>
        <w:pStyle w:val="TOC1"/>
        <w:rPr>
          <w:rFonts w:asciiTheme="minorHAnsi" w:eastAsiaTheme="minorEastAsia" w:hAnsiTheme="minorHAnsi" w:cstheme="minorBidi"/>
          <w:b w:val="0"/>
          <w:sz w:val="22"/>
          <w:szCs w:val="22"/>
          <w:lang w:bidi="ar-SA"/>
        </w:rPr>
      </w:pPr>
      <w:hyperlink w:anchor="_Toc435977961" w:history="1">
        <w:r w:rsidR="00861F33" w:rsidRPr="0075432F">
          <w:rPr>
            <w:rStyle w:val="Hyperlink"/>
          </w:rPr>
          <w:t>9. Minimālā pārraudzība</w:t>
        </w:r>
        <w:r w:rsidR="00861F33" w:rsidRPr="0075432F">
          <w:rPr>
            <w:webHidden/>
          </w:rPr>
          <w:tab/>
        </w:r>
        <w:r w:rsidR="00861F33" w:rsidRPr="0075432F">
          <w:rPr>
            <w:webHidden/>
          </w:rPr>
          <w:fldChar w:fldCharType="begin"/>
        </w:r>
        <w:r w:rsidR="00861F33" w:rsidRPr="0075432F">
          <w:rPr>
            <w:webHidden/>
          </w:rPr>
          <w:instrText xml:space="preserve"> PAGEREF _Toc435977961 \h </w:instrText>
        </w:r>
        <w:r w:rsidR="00861F33" w:rsidRPr="0075432F">
          <w:rPr>
            <w:webHidden/>
          </w:rPr>
        </w:r>
        <w:r w:rsidR="00861F33" w:rsidRPr="0075432F">
          <w:rPr>
            <w:webHidden/>
          </w:rPr>
          <w:fldChar w:fldCharType="separate"/>
        </w:r>
        <w:r w:rsidR="00E350CD">
          <w:rPr>
            <w:webHidden/>
          </w:rPr>
          <w:t>25</w:t>
        </w:r>
        <w:r w:rsidR="00861F33" w:rsidRPr="0075432F">
          <w:rPr>
            <w:webHidden/>
          </w:rPr>
          <w:fldChar w:fldCharType="end"/>
        </w:r>
      </w:hyperlink>
    </w:p>
    <w:p w:rsidR="00DC7DEC" w:rsidRPr="0075432F" w:rsidRDefault="00A20C5C" w:rsidP="00DC7DEC">
      <w:pPr>
        <w:pStyle w:val="TOC1"/>
        <w:rPr>
          <w:rFonts w:eastAsiaTheme="minorEastAsia"/>
          <w:sz w:val="22"/>
          <w:szCs w:val="22"/>
        </w:rPr>
      </w:pPr>
      <w:r w:rsidRPr="0075432F">
        <w:fldChar w:fldCharType="end"/>
      </w:r>
    </w:p>
    <w:p w:rsidR="00DC7DEC" w:rsidRPr="0075432F" w:rsidRDefault="00DC7DEC" w:rsidP="00DC7DEC">
      <w:pPr>
        <w:rPr>
          <w:rFonts w:ascii="Verdana" w:hAnsi="Verdana"/>
        </w:rPr>
      </w:pPr>
      <w:r w:rsidRPr="0075432F">
        <w:rPr>
          <w:rFonts w:ascii="Verdana" w:hAnsi="Verdana"/>
        </w:rPr>
        <w:br w:type="page"/>
      </w:r>
    </w:p>
    <w:p w:rsidR="00DC7DEC" w:rsidRPr="0075432F" w:rsidRDefault="00DC7DEC" w:rsidP="00DC7DEC">
      <w:pPr>
        <w:pStyle w:val="Heading1"/>
        <w:tabs>
          <w:tab w:val="clear" w:pos="432"/>
          <w:tab w:val="num" w:pos="420"/>
        </w:tabs>
        <w:rPr>
          <w:rFonts w:ascii="Verdana" w:hAnsi="Verdana"/>
        </w:rPr>
      </w:pPr>
      <w:bookmarkStart w:id="3" w:name="_Toc354998606"/>
      <w:bookmarkStart w:id="4" w:name="_Toc435977937"/>
      <w:r w:rsidRPr="0075432F">
        <w:rPr>
          <w:rFonts w:ascii="Verdana" w:hAnsi="Verdana"/>
        </w:rPr>
        <w:lastRenderedPageBreak/>
        <w:t>Barības sastāvdaļu uzskaitījums</w:t>
      </w:r>
      <w:bookmarkEnd w:id="3"/>
      <w:bookmarkEnd w:id="4"/>
    </w:p>
    <w:p w:rsidR="00DC7DEC" w:rsidRPr="0075432F" w:rsidRDefault="00DC7DEC" w:rsidP="00DC7DEC">
      <w:pPr>
        <w:rPr>
          <w:rFonts w:ascii="Verdana" w:hAnsi="Verdana"/>
        </w:rPr>
      </w:pPr>
    </w:p>
    <w:p w:rsidR="00DC7DEC" w:rsidRPr="0075432F" w:rsidRDefault="00DC7DEC" w:rsidP="00DC7DEC">
      <w:pPr>
        <w:jc w:val="both"/>
        <w:rPr>
          <w:rFonts w:ascii="Verdana" w:hAnsi="Verdana"/>
          <w:szCs w:val="20"/>
        </w:rPr>
      </w:pPr>
      <w:r w:rsidRPr="0075432F">
        <w:rPr>
          <w:rFonts w:ascii="Verdana" w:hAnsi="Verdana"/>
        </w:rPr>
        <w:t>Galvenās izejvielas, ko pārstrādā ES biodīzeļdegvielas nozare, ir rapšu sēklu eļļa, sojas pupiņu eļļa, saulespuķu sēklu eļļa un palmu eļļa kopā ar metanolu.</w:t>
      </w:r>
    </w:p>
    <w:p w:rsidR="00DC7DEC" w:rsidRPr="0075432F" w:rsidRDefault="00DC7DEC" w:rsidP="00DC7DEC">
      <w:pPr>
        <w:jc w:val="both"/>
        <w:rPr>
          <w:rFonts w:ascii="Verdana" w:hAnsi="Verdana"/>
          <w:szCs w:val="20"/>
        </w:rPr>
      </w:pPr>
    </w:p>
    <w:p w:rsidR="00DC7DEC" w:rsidRPr="0075432F" w:rsidRDefault="00DC7DEC" w:rsidP="00DC7DEC">
      <w:pPr>
        <w:pStyle w:val="Default"/>
        <w:jc w:val="both"/>
        <w:rPr>
          <w:rFonts w:ascii="Verdana" w:hAnsi="Verdana" w:cs="Times New Roman"/>
          <w:sz w:val="20"/>
          <w:szCs w:val="20"/>
        </w:rPr>
      </w:pPr>
      <w:r w:rsidRPr="0075432F">
        <w:rPr>
          <w:rFonts w:ascii="Verdana" w:hAnsi="Verdana"/>
          <w:sz w:val="20"/>
        </w:rPr>
        <w:t xml:space="preserve">Eiropas Savienības </w:t>
      </w:r>
      <w:r w:rsidR="0082690F">
        <w:rPr>
          <w:rFonts w:ascii="Verdana" w:hAnsi="Verdana"/>
          <w:sz w:val="20"/>
        </w:rPr>
        <w:t>b</w:t>
      </w:r>
      <w:r w:rsidRPr="0075432F">
        <w:rPr>
          <w:rFonts w:ascii="Verdana" w:hAnsi="Verdana"/>
          <w:sz w:val="20"/>
        </w:rPr>
        <w:t>arības sastāvdaļu reģistrs nodrošina vienotu ES sistēmu barības sastāvdaļu aprakstīšanai un marķēšanai. Reģistrā katrai uzskaitītajai barības sastāvdaļai ir norādīts produkta nosaukums, identifikācijas numurs, barības sastāvdaļas apraksts, tostarp attiecīgā gadījumā arī informācija par ražošanas procesu, un dati, ar kuriem aizstāj obligāto uzskaitījumu, kā minēts Regulas (EK) Nr. 767/2009 16. panta 1. punkta b) apakšpunktā.</w:t>
      </w:r>
    </w:p>
    <w:p w:rsidR="00DC7DEC" w:rsidRPr="0075432F" w:rsidRDefault="00DC7DEC" w:rsidP="00DC7DEC">
      <w:pPr>
        <w:pStyle w:val="Default"/>
        <w:jc w:val="both"/>
        <w:rPr>
          <w:rFonts w:ascii="Verdana" w:hAnsi="Verdana" w:cs="Times New Roman"/>
          <w:sz w:val="20"/>
          <w:szCs w:val="20"/>
        </w:rPr>
      </w:pPr>
    </w:p>
    <w:p w:rsidR="00DC7DEC" w:rsidRPr="0075432F" w:rsidRDefault="00DC7DEC" w:rsidP="00DC7DEC">
      <w:pPr>
        <w:pStyle w:val="Default"/>
        <w:jc w:val="both"/>
        <w:rPr>
          <w:rFonts w:ascii="Verdana" w:hAnsi="Verdana" w:cs="Times New Roman"/>
          <w:sz w:val="20"/>
          <w:szCs w:val="20"/>
        </w:rPr>
      </w:pPr>
      <w:r w:rsidRPr="0075432F">
        <w:rPr>
          <w:rFonts w:ascii="Verdana" w:hAnsi="Verdana"/>
          <w:sz w:val="20"/>
        </w:rPr>
        <w:t>Turpmāk uzskaitītas ar biodīzeļdegvielu saistītās barības sastāvdaļas, kas minētas Regulā (ES) Nr. 68/2013 (saraksts pielāgots, minot tikai augu izcelsmes sastāvdaļas).</w:t>
      </w:r>
    </w:p>
    <w:tbl>
      <w:tblPr>
        <w:tblStyle w:val="TableGrid"/>
        <w:tblW w:w="0" w:type="auto"/>
        <w:tblLook w:val="04A0" w:firstRow="1" w:lastRow="0" w:firstColumn="1" w:lastColumn="0" w:noHBand="0" w:noVBand="1"/>
      </w:tblPr>
      <w:tblGrid>
        <w:gridCol w:w="1951"/>
        <w:gridCol w:w="992"/>
        <w:gridCol w:w="6111"/>
      </w:tblGrid>
      <w:tr w:rsidR="00DC7DEC" w:rsidRPr="0075432F" w:rsidTr="00861F33">
        <w:tc>
          <w:tcPr>
            <w:tcW w:w="1951" w:type="dxa"/>
          </w:tcPr>
          <w:p w:rsidR="00DC7DEC" w:rsidRPr="0075432F" w:rsidRDefault="00DC7DEC" w:rsidP="00861F33">
            <w:pPr>
              <w:jc w:val="both"/>
              <w:rPr>
                <w:rFonts w:ascii="Verdana" w:hAnsi="Verdana"/>
                <w:szCs w:val="20"/>
              </w:rPr>
            </w:pPr>
            <w:r w:rsidRPr="0075432F">
              <w:rPr>
                <w:rFonts w:ascii="Verdana" w:hAnsi="Verdana"/>
              </w:rPr>
              <w:t>Glicerīns, neattīrīts</w:t>
            </w:r>
          </w:p>
          <w:p w:rsidR="00DC7DEC" w:rsidRPr="0075432F" w:rsidRDefault="00DC7DEC" w:rsidP="00861F33">
            <w:pPr>
              <w:jc w:val="both"/>
              <w:rPr>
                <w:rFonts w:ascii="Verdana" w:hAnsi="Verdana"/>
                <w:szCs w:val="20"/>
              </w:rPr>
            </w:pPr>
          </w:p>
        </w:tc>
        <w:tc>
          <w:tcPr>
            <w:tcW w:w="992" w:type="dxa"/>
          </w:tcPr>
          <w:p w:rsidR="00DC7DEC" w:rsidRPr="0075432F" w:rsidRDefault="00DC7DEC" w:rsidP="00861F33">
            <w:pPr>
              <w:jc w:val="both"/>
              <w:rPr>
                <w:rFonts w:ascii="Verdana" w:hAnsi="Verdana"/>
                <w:szCs w:val="20"/>
              </w:rPr>
            </w:pPr>
            <w:r w:rsidRPr="0075432F">
              <w:rPr>
                <w:rFonts w:ascii="Verdana" w:hAnsi="Verdana"/>
              </w:rPr>
              <w:t>13.8.1.</w:t>
            </w:r>
          </w:p>
        </w:tc>
        <w:tc>
          <w:tcPr>
            <w:tcW w:w="6111" w:type="dxa"/>
          </w:tcPr>
          <w:p w:rsidR="00DC7DEC" w:rsidRPr="0075432F" w:rsidRDefault="00DC7DEC" w:rsidP="00861F33">
            <w:pPr>
              <w:widowControl w:val="0"/>
              <w:autoSpaceDE w:val="0"/>
              <w:autoSpaceDN w:val="0"/>
              <w:adjustRightInd w:val="0"/>
              <w:ind w:left="84"/>
              <w:jc w:val="both"/>
              <w:rPr>
                <w:rFonts w:ascii="Verdana" w:hAnsi="Verdana"/>
                <w:szCs w:val="20"/>
              </w:rPr>
            </w:pPr>
            <w:r w:rsidRPr="0075432F">
              <w:rPr>
                <w:rFonts w:ascii="Verdana" w:hAnsi="Verdana"/>
              </w:rPr>
              <w:t>Blakusprodukts, kas iegūts:</w:t>
            </w:r>
          </w:p>
          <w:p w:rsidR="00DC7DEC" w:rsidRPr="0075432F" w:rsidRDefault="00DC7DEC" w:rsidP="00861F33">
            <w:pPr>
              <w:widowControl w:val="0"/>
              <w:autoSpaceDE w:val="0"/>
              <w:autoSpaceDN w:val="0"/>
              <w:adjustRightInd w:val="0"/>
              <w:spacing w:before="85" w:line="235" w:lineRule="auto"/>
              <w:ind w:left="331" w:right="53" w:hanging="247"/>
              <w:jc w:val="both"/>
              <w:rPr>
                <w:rFonts w:ascii="Verdana" w:hAnsi="Verdana"/>
                <w:szCs w:val="20"/>
              </w:rPr>
            </w:pPr>
            <w:r w:rsidRPr="0075432F">
              <w:rPr>
                <w:rFonts w:ascii="Verdana" w:hAnsi="Verdana"/>
              </w:rPr>
              <w:t>— tauku pārstrādē, sašķeļot eļļas/taukus taukskābēs un saldūdenī, kam seko saldūdens koncentrēšana, lai iegūtu neattīrītu glicerīnu, vai dabīgo eļļu/tauku pāresterificēšana (var saturēt līdz 0,5 % metanola), lai iegūtu taukskābju metilesterus un saldūdeni, kam seko saldūdens koncentrēšana, lai iegūtu neattīrītu glicerīnu;</w:t>
            </w:r>
          </w:p>
          <w:p w:rsidR="00DC7DEC" w:rsidRPr="0075432F" w:rsidRDefault="00DC7DEC" w:rsidP="00861F33">
            <w:pPr>
              <w:widowControl w:val="0"/>
              <w:autoSpaceDE w:val="0"/>
              <w:autoSpaceDN w:val="0"/>
              <w:adjustRightInd w:val="0"/>
              <w:spacing w:before="84" w:line="235" w:lineRule="auto"/>
              <w:ind w:left="331" w:right="53" w:hanging="247"/>
              <w:jc w:val="both"/>
              <w:rPr>
                <w:rFonts w:ascii="Verdana" w:hAnsi="Verdana"/>
                <w:szCs w:val="20"/>
              </w:rPr>
            </w:pPr>
            <w:r w:rsidRPr="0075432F">
              <w:rPr>
                <w:rFonts w:ascii="Verdana" w:hAnsi="Verdana"/>
              </w:rPr>
              <w:t>— biodīzeļdegvielas ražošanā (taukskābju metilesteri vai etilesteri), pāresterificējot nenoteiktas augu izcelsmes eļļas un taukus. Glicerīns var saturēt minerālsāļus un organiskos sāļus (līdz 7,5 %).</w:t>
            </w:r>
          </w:p>
          <w:p w:rsidR="00DC7DEC" w:rsidRPr="0075432F" w:rsidRDefault="00DC7DEC" w:rsidP="00861F33">
            <w:pPr>
              <w:widowControl w:val="0"/>
              <w:autoSpaceDE w:val="0"/>
              <w:autoSpaceDN w:val="0"/>
              <w:adjustRightInd w:val="0"/>
              <w:spacing w:before="83"/>
              <w:ind w:left="84"/>
              <w:jc w:val="both"/>
              <w:rPr>
                <w:rFonts w:ascii="Verdana" w:hAnsi="Verdana"/>
                <w:szCs w:val="20"/>
              </w:rPr>
            </w:pPr>
            <w:r w:rsidRPr="0075432F">
              <w:rPr>
                <w:rFonts w:ascii="Verdana" w:hAnsi="Verdana"/>
              </w:rPr>
              <w:t xml:space="preserve">Var saturēt līdz 0,5 % metanola un līdz 4 % </w:t>
            </w:r>
            <w:r w:rsidRPr="0075432F">
              <w:rPr>
                <w:rFonts w:ascii="Verdana" w:hAnsi="Verdana"/>
                <w:i/>
              </w:rPr>
              <w:t>MONG</w:t>
            </w:r>
            <w:r w:rsidRPr="0075432F">
              <w:rPr>
                <w:rFonts w:ascii="Verdana" w:hAnsi="Verdana"/>
              </w:rPr>
              <w:t xml:space="preserve"> (</w:t>
            </w:r>
            <w:r w:rsidRPr="0075432F">
              <w:rPr>
                <w:rFonts w:ascii="Verdana" w:hAnsi="Verdana"/>
                <w:i/>
              </w:rPr>
              <w:t>Matter Organic Non Glycerol</w:t>
            </w:r>
            <w:r w:rsidRPr="0075432F">
              <w:rPr>
                <w:rFonts w:ascii="Verdana" w:hAnsi="Verdana"/>
              </w:rPr>
              <w:t>), ietverot taukskābju metilesterus, taukskābju etilesterus, brīv</w:t>
            </w:r>
            <w:r w:rsidR="000C3CE3">
              <w:rPr>
                <w:rFonts w:ascii="Verdana" w:hAnsi="Verdana"/>
              </w:rPr>
              <w:t>ā</w:t>
            </w:r>
            <w:r w:rsidRPr="0075432F">
              <w:rPr>
                <w:rFonts w:ascii="Verdana" w:hAnsi="Verdana"/>
              </w:rPr>
              <w:t>s taukskābes un glicerīdus;</w:t>
            </w:r>
          </w:p>
          <w:p w:rsidR="00DC7DEC" w:rsidRPr="0075432F" w:rsidRDefault="00DC7DEC" w:rsidP="00861F33">
            <w:pPr>
              <w:widowControl w:val="0"/>
              <w:autoSpaceDE w:val="0"/>
              <w:autoSpaceDN w:val="0"/>
              <w:adjustRightInd w:val="0"/>
              <w:spacing w:before="84" w:line="235" w:lineRule="auto"/>
              <w:ind w:left="331" w:right="55" w:hanging="247"/>
              <w:jc w:val="both"/>
              <w:rPr>
                <w:rFonts w:ascii="Verdana" w:hAnsi="Verdana"/>
                <w:szCs w:val="20"/>
              </w:rPr>
            </w:pPr>
            <w:r w:rsidRPr="0075432F">
              <w:rPr>
                <w:rFonts w:ascii="Verdana" w:hAnsi="Verdana"/>
              </w:rPr>
              <w:t>— augu izcelsmes eļļu/tauku pārziepošanā, parasti ar sārmiem/sārmzemēm, lai iegūtu ziepes.</w:t>
            </w:r>
          </w:p>
          <w:p w:rsidR="00DC7DEC" w:rsidRPr="0075432F" w:rsidRDefault="00DC7DEC" w:rsidP="00861F33">
            <w:pPr>
              <w:widowControl w:val="0"/>
              <w:autoSpaceDE w:val="0"/>
              <w:autoSpaceDN w:val="0"/>
              <w:adjustRightInd w:val="0"/>
              <w:spacing w:before="84" w:line="235" w:lineRule="auto"/>
              <w:ind w:left="331" w:right="55" w:hanging="247"/>
              <w:jc w:val="both"/>
              <w:rPr>
                <w:rFonts w:ascii="Verdana" w:hAnsi="Verdana"/>
                <w:szCs w:val="20"/>
              </w:rPr>
            </w:pPr>
            <w:r w:rsidRPr="0075432F">
              <w:rPr>
                <w:rFonts w:ascii="Verdana" w:hAnsi="Verdana"/>
              </w:rPr>
              <w:t>Var saturēt līdz 50 ppm niķeļa no hidrogenēšanas.</w:t>
            </w:r>
          </w:p>
        </w:tc>
      </w:tr>
      <w:tr w:rsidR="00DC7DEC" w:rsidRPr="0075432F" w:rsidTr="00861F33">
        <w:tc>
          <w:tcPr>
            <w:tcW w:w="1951" w:type="dxa"/>
          </w:tcPr>
          <w:p w:rsidR="00DC7DEC" w:rsidRPr="0075432F" w:rsidRDefault="00DC7DEC" w:rsidP="00861F33">
            <w:pPr>
              <w:jc w:val="both"/>
              <w:rPr>
                <w:rFonts w:ascii="Verdana" w:hAnsi="Verdana"/>
                <w:szCs w:val="20"/>
              </w:rPr>
            </w:pPr>
            <w:r w:rsidRPr="0075432F">
              <w:rPr>
                <w:rFonts w:ascii="Verdana" w:hAnsi="Verdana"/>
              </w:rPr>
              <w:t>Glicerīns</w:t>
            </w:r>
          </w:p>
        </w:tc>
        <w:tc>
          <w:tcPr>
            <w:tcW w:w="992" w:type="dxa"/>
          </w:tcPr>
          <w:p w:rsidR="00DC7DEC" w:rsidRPr="0075432F" w:rsidRDefault="00DC7DEC" w:rsidP="00861F33">
            <w:pPr>
              <w:jc w:val="both"/>
              <w:rPr>
                <w:rFonts w:ascii="Verdana" w:hAnsi="Verdana"/>
                <w:szCs w:val="20"/>
              </w:rPr>
            </w:pPr>
            <w:r w:rsidRPr="0075432F">
              <w:rPr>
                <w:rFonts w:ascii="Verdana" w:hAnsi="Verdana"/>
              </w:rPr>
              <w:t>13.8.2.</w:t>
            </w:r>
          </w:p>
        </w:tc>
        <w:tc>
          <w:tcPr>
            <w:tcW w:w="6111" w:type="dxa"/>
          </w:tcPr>
          <w:p w:rsidR="00DC7DEC" w:rsidRPr="0075432F" w:rsidRDefault="00DC7DEC" w:rsidP="00861F33">
            <w:pPr>
              <w:widowControl w:val="0"/>
              <w:autoSpaceDE w:val="0"/>
              <w:autoSpaceDN w:val="0"/>
              <w:adjustRightInd w:val="0"/>
              <w:ind w:left="84"/>
              <w:rPr>
                <w:rFonts w:ascii="Verdana" w:hAnsi="Verdana"/>
                <w:szCs w:val="20"/>
              </w:rPr>
            </w:pPr>
            <w:r w:rsidRPr="0075432F">
              <w:rPr>
                <w:rFonts w:ascii="Verdana" w:hAnsi="Verdana"/>
              </w:rPr>
              <w:t>Produkts, kas iegūts:</w:t>
            </w:r>
          </w:p>
          <w:p w:rsidR="00DC7DEC" w:rsidRPr="0075432F" w:rsidRDefault="00DC7DEC" w:rsidP="00861F33">
            <w:pPr>
              <w:widowControl w:val="0"/>
              <w:autoSpaceDE w:val="0"/>
              <w:autoSpaceDN w:val="0"/>
              <w:adjustRightInd w:val="0"/>
              <w:spacing w:before="87" w:line="192" w:lineRule="exact"/>
              <w:ind w:left="331" w:right="53" w:hanging="247"/>
              <w:rPr>
                <w:rFonts w:ascii="Verdana" w:hAnsi="Verdana"/>
                <w:szCs w:val="20"/>
              </w:rPr>
            </w:pPr>
            <w:r w:rsidRPr="0075432F">
              <w:rPr>
                <w:rFonts w:ascii="Verdana" w:hAnsi="Verdana"/>
              </w:rPr>
              <w:t>— tauku pārstrādē, a) sašķeļot eļļas/taukus, kam seko saldūdens koncentrēšana un rafinēšana ar destilēšanas (skatīt B daļā procesu glosārija 20. ierakstu) vai jonu apmaiņas procesa palīdzību; b) dabīgo eļļu/tauku pāresterificēšanā, lai iegūtu taukskābju metilesterus un neattīrītu saldūdeni, kam seko saldūdens koncentrēšana, lai iegūtu neattīrītu glicerīnu, un rafinēšana ar destilēšanas vai jonu apmaiņas procesa palīdzību;</w:t>
            </w:r>
          </w:p>
          <w:p w:rsidR="00DC7DEC" w:rsidRPr="0075432F" w:rsidRDefault="00DC7DEC" w:rsidP="00861F33">
            <w:pPr>
              <w:widowControl w:val="0"/>
              <w:autoSpaceDE w:val="0"/>
              <w:autoSpaceDN w:val="0"/>
              <w:adjustRightInd w:val="0"/>
              <w:spacing w:before="82" w:line="235" w:lineRule="auto"/>
              <w:ind w:left="331" w:right="53" w:hanging="247"/>
              <w:rPr>
                <w:rFonts w:ascii="Verdana" w:hAnsi="Verdana"/>
                <w:szCs w:val="20"/>
              </w:rPr>
            </w:pPr>
            <w:r w:rsidRPr="0075432F">
              <w:rPr>
                <w:rFonts w:ascii="Verdana" w:hAnsi="Verdana"/>
              </w:rPr>
              <w:t>— biodīzeļdegvielas ražošanā (taukskābju metilesteri vai etilesteri), pāresterificējot nenoteiktas augu izcelsmes eļļas un taukus un pēc tam rafinējot glicerīnu. Minimālais glicerīna saturs:</w:t>
            </w:r>
          </w:p>
          <w:p w:rsidR="00DC7DEC" w:rsidRPr="0075432F" w:rsidRDefault="00DC7DEC" w:rsidP="00861F33">
            <w:pPr>
              <w:widowControl w:val="0"/>
              <w:tabs>
                <w:tab w:val="center" w:pos="2829"/>
              </w:tabs>
              <w:autoSpaceDE w:val="0"/>
              <w:autoSpaceDN w:val="0"/>
              <w:adjustRightInd w:val="0"/>
              <w:spacing w:line="193" w:lineRule="exact"/>
              <w:ind w:left="331"/>
              <w:rPr>
                <w:rFonts w:ascii="Verdana" w:hAnsi="Verdana"/>
                <w:szCs w:val="20"/>
              </w:rPr>
            </w:pPr>
            <w:r w:rsidRPr="0075432F">
              <w:rPr>
                <w:rFonts w:ascii="Verdana" w:hAnsi="Verdana"/>
              </w:rPr>
              <w:t>99 % no sausnas;</w:t>
            </w:r>
            <w:r w:rsidRPr="0075432F">
              <w:rPr>
                <w:rFonts w:ascii="Verdana" w:hAnsi="Verdana"/>
              </w:rPr>
              <w:tab/>
            </w:r>
          </w:p>
          <w:p w:rsidR="00DC7DEC" w:rsidRPr="0075432F" w:rsidRDefault="00DC7DEC" w:rsidP="00861F33">
            <w:pPr>
              <w:widowControl w:val="0"/>
              <w:autoSpaceDE w:val="0"/>
              <w:autoSpaceDN w:val="0"/>
              <w:adjustRightInd w:val="0"/>
              <w:spacing w:before="84" w:line="235" w:lineRule="auto"/>
              <w:ind w:left="331" w:right="54" w:hanging="247"/>
              <w:jc w:val="both"/>
              <w:rPr>
                <w:rFonts w:ascii="Verdana" w:hAnsi="Verdana"/>
                <w:szCs w:val="20"/>
              </w:rPr>
            </w:pPr>
            <w:r w:rsidRPr="0075432F">
              <w:rPr>
                <w:rFonts w:ascii="Verdana" w:hAnsi="Verdana"/>
              </w:rPr>
              <w:t>— augu izcelsmes eļļu/tauku pārziepošanā, parasti ar sārmiem/sārmzemēm, lai iegūtu ziepes, kam seko neattīrīta glicerīna rafinēšana un destilēšana.</w:t>
            </w:r>
          </w:p>
          <w:p w:rsidR="00DC7DEC" w:rsidRPr="0075432F" w:rsidRDefault="00DC7DEC" w:rsidP="00861F33">
            <w:pPr>
              <w:jc w:val="both"/>
              <w:rPr>
                <w:rFonts w:ascii="Verdana" w:hAnsi="Verdana"/>
                <w:szCs w:val="20"/>
              </w:rPr>
            </w:pPr>
            <w:r w:rsidRPr="0075432F">
              <w:rPr>
                <w:rFonts w:ascii="Verdana" w:hAnsi="Verdana"/>
              </w:rPr>
              <w:t>Var saturēt līdz 50 ppm niķeļa no hidrogenēšanas.</w:t>
            </w:r>
          </w:p>
        </w:tc>
      </w:tr>
    </w:tbl>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b/>
          <w:szCs w:val="20"/>
        </w:rPr>
      </w:pPr>
      <w:r w:rsidRPr="0075432F">
        <w:rPr>
          <w:rFonts w:ascii="Verdana" w:hAnsi="Verdana"/>
          <w:b/>
        </w:rPr>
        <w:lastRenderedPageBreak/>
        <w:t>2.1. Pārstrādes palīglīdzekļi, kas, iespējams, izmantoti apstrādē un pārstrādē</w:t>
      </w:r>
      <w:r w:rsidR="000D3DB5" w:rsidRPr="0075432F">
        <w:rPr>
          <w:rFonts w:ascii="Verdana" w:hAnsi="Verdana"/>
          <w:b/>
        </w:rPr>
        <w:t xml:space="preserve"> </w:t>
      </w:r>
    </w:p>
    <w:p w:rsidR="00DC7DEC" w:rsidRPr="0075432F" w:rsidRDefault="00DC7DEC" w:rsidP="00DC7DEC">
      <w:pPr>
        <w:jc w:val="both"/>
        <w:rPr>
          <w:rFonts w:ascii="Verdana" w:hAnsi="Verdana"/>
          <w:szCs w:val="20"/>
        </w:rPr>
      </w:pPr>
      <w:r w:rsidRPr="0075432F">
        <w:rPr>
          <w:rFonts w:ascii="Verdana" w:hAnsi="Verdana"/>
        </w:rPr>
        <w:t>Ūdens</w:t>
      </w:r>
    </w:p>
    <w:p w:rsidR="00DC7DEC" w:rsidRPr="0075432F" w:rsidRDefault="00DC7DEC" w:rsidP="00DC7DEC">
      <w:pPr>
        <w:jc w:val="both"/>
        <w:rPr>
          <w:rFonts w:ascii="Verdana" w:hAnsi="Verdana"/>
          <w:szCs w:val="20"/>
        </w:rPr>
      </w:pPr>
      <w:r w:rsidRPr="0075432F">
        <w:rPr>
          <w:rFonts w:ascii="Verdana" w:hAnsi="Verdana"/>
        </w:rPr>
        <w:t>Alumīnija sulfāts</w:t>
      </w:r>
    </w:p>
    <w:p w:rsidR="00DC7DEC" w:rsidRPr="0075432F" w:rsidRDefault="00DC7DEC" w:rsidP="00DC7DEC">
      <w:pPr>
        <w:jc w:val="both"/>
        <w:rPr>
          <w:rFonts w:ascii="Verdana" w:hAnsi="Verdana"/>
          <w:szCs w:val="20"/>
        </w:rPr>
      </w:pPr>
      <w:r w:rsidRPr="0075432F">
        <w:rPr>
          <w:rFonts w:ascii="Verdana" w:hAnsi="Verdana"/>
        </w:rPr>
        <w:t>Citronskābe</w:t>
      </w:r>
    </w:p>
    <w:p w:rsidR="00DC7DEC" w:rsidRPr="0075432F" w:rsidRDefault="00DC7DEC" w:rsidP="00DC7DEC">
      <w:pPr>
        <w:jc w:val="both"/>
        <w:rPr>
          <w:rFonts w:ascii="Verdana" w:hAnsi="Verdana"/>
          <w:szCs w:val="20"/>
        </w:rPr>
      </w:pPr>
      <w:r w:rsidRPr="0075432F">
        <w:rPr>
          <w:rFonts w:ascii="Verdana" w:hAnsi="Verdana"/>
        </w:rPr>
        <w:t>Dzelzs hlorīds</w:t>
      </w:r>
    </w:p>
    <w:p w:rsidR="00DC7DEC" w:rsidRPr="0075432F" w:rsidRDefault="00DC7DEC" w:rsidP="00DC7DEC">
      <w:pPr>
        <w:jc w:val="both"/>
        <w:rPr>
          <w:rFonts w:ascii="Verdana" w:hAnsi="Verdana"/>
          <w:szCs w:val="20"/>
        </w:rPr>
      </w:pPr>
      <w:r w:rsidRPr="0075432F">
        <w:rPr>
          <w:rFonts w:ascii="Verdana" w:hAnsi="Verdana"/>
        </w:rPr>
        <w:t>Sālsskābe</w:t>
      </w:r>
    </w:p>
    <w:p w:rsidR="00DC7DEC" w:rsidRPr="0075432F" w:rsidRDefault="00DC7DEC" w:rsidP="00DC7DEC">
      <w:pPr>
        <w:jc w:val="both"/>
        <w:rPr>
          <w:rFonts w:ascii="Verdana" w:hAnsi="Verdana"/>
          <w:szCs w:val="20"/>
        </w:rPr>
      </w:pPr>
      <w:r w:rsidRPr="0075432F">
        <w:rPr>
          <w:rFonts w:ascii="Verdana" w:hAnsi="Verdana"/>
        </w:rPr>
        <w:t>Kālija hidroksīds</w:t>
      </w:r>
    </w:p>
    <w:p w:rsidR="00DC7DEC" w:rsidRPr="0075432F" w:rsidRDefault="00DC7DEC" w:rsidP="00DC7DEC">
      <w:pPr>
        <w:jc w:val="both"/>
        <w:rPr>
          <w:rFonts w:ascii="Verdana" w:hAnsi="Verdana"/>
          <w:szCs w:val="20"/>
        </w:rPr>
      </w:pPr>
      <w:r w:rsidRPr="0075432F">
        <w:rPr>
          <w:rFonts w:ascii="Verdana" w:hAnsi="Verdana"/>
        </w:rPr>
        <w:t>Nātrija hidroksīds</w:t>
      </w:r>
    </w:p>
    <w:p w:rsidR="00DC7DEC" w:rsidRPr="0075432F" w:rsidRDefault="00DC7DEC" w:rsidP="00DC7DEC">
      <w:pPr>
        <w:jc w:val="both"/>
        <w:rPr>
          <w:rFonts w:ascii="Verdana" w:hAnsi="Verdana"/>
          <w:szCs w:val="20"/>
        </w:rPr>
      </w:pPr>
      <w:r w:rsidRPr="0075432F">
        <w:rPr>
          <w:rFonts w:ascii="Verdana" w:hAnsi="Verdana"/>
        </w:rPr>
        <w:t>Nātrija metoksīds</w:t>
      </w:r>
    </w:p>
    <w:p w:rsidR="00DC7DEC" w:rsidRPr="0075432F" w:rsidRDefault="00DC7DEC" w:rsidP="00DC7DEC">
      <w:pPr>
        <w:jc w:val="both"/>
        <w:rPr>
          <w:rFonts w:ascii="Verdana" w:hAnsi="Verdana"/>
          <w:szCs w:val="20"/>
        </w:rPr>
      </w:pPr>
      <w:r w:rsidRPr="0075432F">
        <w:rPr>
          <w:rFonts w:ascii="Verdana" w:hAnsi="Verdana"/>
        </w:rPr>
        <w:t>Sērskābe</w:t>
      </w:r>
    </w:p>
    <w:p w:rsidR="00DC7DEC" w:rsidRPr="0075432F" w:rsidRDefault="00DC7DEC" w:rsidP="00DC7DEC">
      <w:pPr>
        <w:jc w:val="both"/>
        <w:rPr>
          <w:rFonts w:ascii="Verdana" w:hAnsi="Verdana"/>
          <w:szCs w:val="20"/>
        </w:rPr>
      </w:pPr>
      <w:r w:rsidRPr="0075432F">
        <w:rPr>
          <w:rFonts w:ascii="Verdana" w:hAnsi="Verdana"/>
        </w:rPr>
        <w:t>Fosforskābe</w:t>
      </w:r>
    </w:p>
    <w:p w:rsidR="00DC7DEC" w:rsidRPr="0075432F" w:rsidRDefault="00DC7DEC" w:rsidP="00DC7DEC">
      <w:pPr>
        <w:jc w:val="both"/>
        <w:rPr>
          <w:rFonts w:ascii="Verdana" w:hAnsi="Verdana"/>
          <w:szCs w:val="20"/>
        </w:rPr>
      </w:pPr>
      <w:r w:rsidRPr="0075432F">
        <w:rPr>
          <w:rFonts w:ascii="Verdana" w:hAnsi="Verdana"/>
        </w:rPr>
        <w:t>Toluolsulfoskābe</w:t>
      </w:r>
    </w:p>
    <w:p w:rsidR="00DC7DEC" w:rsidRPr="0075432F" w:rsidRDefault="00DC7DEC" w:rsidP="00DC7DEC">
      <w:pPr>
        <w:jc w:val="both"/>
        <w:rPr>
          <w:rFonts w:ascii="Verdana" w:hAnsi="Verdana"/>
          <w:b/>
          <w:szCs w:val="20"/>
        </w:rPr>
      </w:pPr>
    </w:p>
    <w:p w:rsidR="00DC7DEC" w:rsidRPr="0075432F" w:rsidRDefault="000864B4" w:rsidP="00DC7DEC">
      <w:pPr>
        <w:rPr>
          <w:rFonts w:ascii="Verdana" w:hAnsi="Verdana"/>
          <w:u w:val="single"/>
        </w:rPr>
      </w:pPr>
      <w:r>
        <w:rPr>
          <w:rFonts w:ascii="Verdana" w:hAnsi="Verdana"/>
          <w:u w:val="single"/>
        </w:rPr>
        <w:t>Šis saraksts nav izsmeļošs</w:t>
      </w:r>
      <w:r w:rsidR="00DC7DEC" w:rsidRPr="0075432F">
        <w:rPr>
          <w:rFonts w:ascii="Verdana" w:hAnsi="Verdana"/>
        </w:rPr>
        <w:br w:type="page"/>
      </w:r>
    </w:p>
    <w:p w:rsidR="00DC7DEC" w:rsidRPr="0075432F" w:rsidRDefault="00DC7DEC" w:rsidP="00DC7DEC">
      <w:pPr>
        <w:pStyle w:val="Heading1"/>
        <w:tabs>
          <w:tab w:val="clear" w:pos="432"/>
          <w:tab w:val="num" w:pos="420"/>
        </w:tabs>
        <w:rPr>
          <w:rFonts w:ascii="Verdana" w:hAnsi="Verdana"/>
        </w:rPr>
      </w:pPr>
      <w:bookmarkStart w:id="5" w:name="_Toc354998607"/>
      <w:bookmarkStart w:id="6" w:name="_Toc435977938"/>
      <w:r w:rsidRPr="0075432F">
        <w:rPr>
          <w:rFonts w:ascii="Verdana" w:hAnsi="Verdana"/>
        </w:rPr>
        <w:lastRenderedPageBreak/>
        <w:t>Biodīzeļdegvielas ražošanas procesa apraksts</w:t>
      </w:r>
      <w:bookmarkEnd w:id="5"/>
      <w:bookmarkEnd w:id="6"/>
    </w:p>
    <w:p w:rsidR="00DC7DEC" w:rsidRPr="0075432F" w:rsidRDefault="00DC7DEC" w:rsidP="00DC7DEC">
      <w:pPr>
        <w:rPr>
          <w:rFonts w:ascii="Verdana" w:hAnsi="Verdana"/>
        </w:rPr>
      </w:pPr>
    </w:p>
    <w:p w:rsidR="00DC7DEC" w:rsidRPr="0075432F" w:rsidRDefault="00DC7DEC" w:rsidP="00DC7DEC">
      <w:pPr>
        <w:autoSpaceDE w:val="0"/>
        <w:autoSpaceDN w:val="0"/>
        <w:adjustRightInd w:val="0"/>
        <w:jc w:val="both"/>
        <w:rPr>
          <w:rFonts w:ascii="Verdana" w:hAnsi="Verdana"/>
        </w:rPr>
      </w:pPr>
      <w:r w:rsidRPr="0075432F">
        <w:rPr>
          <w:rFonts w:ascii="Verdana" w:hAnsi="Verdana"/>
        </w:rPr>
        <w:t>Biodīzeļdegvielu veido taukskābju metilesteri, un to iegūst, eļļām un taukiem ķīmiski reaģējot ar vienvērtīgajiem spirtiem, parasti metanolu. Lai paātrinātu alkilesteru veidošanos, izmanto katalizatoru, parasti nātrija vai kālija hidroksīdu un/vai metilātu. Šo ražošanas procesu parasti sauc par pāresterificēšanu.</w:t>
      </w:r>
    </w:p>
    <w:p w:rsidR="00C327E6" w:rsidRPr="0075432F" w:rsidRDefault="00C327E6" w:rsidP="00DC7DEC">
      <w:pPr>
        <w:autoSpaceDE w:val="0"/>
        <w:autoSpaceDN w:val="0"/>
        <w:adjustRightInd w:val="0"/>
        <w:jc w:val="both"/>
        <w:rPr>
          <w:rFonts w:ascii="Verdana" w:hAnsi="Verdana"/>
        </w:rPr>
      </w:pPr>
    </w:p>
    <w:p w:rsidR="00DC7DEC" w:rsidRPr="0075432F" w:rsidRDefault="006B31B7" w:rsidP="00DC7DEC">
      <w:pPr>
        <w:autoSpaceDE w:val="0"/>
        <w:autoSpaceDN w:val="0"/>
        <w:adjustRightInd w:val="0"/>
        <w:jc w:val="both"/>
        <w:rPr>
          <w:rFonts w:ascii="Verdana" w:hAnsi="Verdana"/>
        </w:rPr>
      </w:pPr>
      <w:r>
        <w:rPr>
          <w:rFonts w:ascii="Verdana" w:hAnsi="Verdana"/>
        </w:rPr>
      </w:r>
      <w:r>
        <w:rPr>
          <w:rFonts w:ascii="Verdana" w:hAnsi="Verdana"/>
        </w:rPr>
        <w:pict>
          <v:group id="_x0000_s1041" style="width:401.9pt;height:87.75pt;mso-position-horizontal-relative:char;mso-position-vertical-relative:line" coordorigin="1848,2038" coordsize="8038,175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42" type="#_x0000_t176" style="position:absolute;left:1848;top:2038;width:2503;height:17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" fillcolor="#9bbb59" strokecolor="#f2f2f2" strokeweight="3pt">
              <v:shadow on="t" color="#4e6128" opacity=".5" offset="1pt"/>
              <v:textbox style="mso-next-textbox:#Flowchart: Alternate Process 11">
                <w:txbxContent>
                  <w:p w:rsidR="00C327E6" w:rsidRDefault="00C327E6" w:rsidP="00C327E6">
                    <w:pPr>
                      <w:spacing w:line="360" w:lineRule="auto"/>
                      <w:jc w:val="center"/>
                      <w:rPr>
                        <w:b/>
                        <w:szCs w:val="20"/>
                        <w:u w:val="single"/>
                      </w:rPr>
                    </w:pPr>
                    <w:r>
                      <w:rPr>
                        <w:b/>
                        <w:u w:val="single"/>
                      </w:rPr>
                      <w:t>Augu eļļas</w:t>
                    </w:r>
                  </w:p>
                  <w:p w:rsidR="00C327E6" w:rsidRDefault="00C327E6" w:rsidP="00C327E6">
                    <w:r>
                      <w:t>Rapšu sēklu eļļa</w:t>
                    </w:r>
                  </w:p>
                  <w:p w:rsidR="00C327E6" w:rsidRDefault="00C327E6" w:rsidP="00C327E6">
                    <w:r>
                      <w:t>Sojas pupiņu eļļa</w:t>
                    </w:r>
                  </w:p>
                  <w:p w:rsidR="00C327E6" w:rsidRDefault="00C327E6" w:rsidP="00C327E6">
                    <w:r>
                      <w:t>Saulespuķu sēklu eļļa</w:t>
                    </w:r>
                  </w:p>
                  <w:p w:rsidR="00C327E6" w:rsidRDefault="00C327E6" w:rsidP="00C327E6">
                    <w:r>
                      <w:t>Palmu eļļa</w:t>
                    </w:r>
                  </w:p>
                </w:txbxContent>
              </v:textbox>
            </v:shape>
            <v:shape id="Flowchart: Alternate Process 14" o:spid="_x0000_s1043" type="#_x0000_t176" style="position:absolute;left:7516;top:2038;width:2370;height:1755;visibility:visible" fillcolor="#9bbb59" strokecolor="#f2f2f2" strokeweight="3pt">
              <v:shadow on="t" color="#4e6128" opacity=".5" offset="1pt"/>
              <v:textbox style="mso-next-textbox:#Flowchart: Alternate Process 14">
                <w:txbxContent>
                  <w:p w:rsidR="00C327E6" w:rsidRDefault="00C327E6" w:rsidP="00C327E6">
                    <w:pPr>
                      <w:spacing w:line="360" w:lineRule="auto"/>
                      <w:jc w:val="center"/>
                      <w:rPr>
                        <w:b/>
                        <w:u w:val="single"/>
                      </w:rPr>
                    </w:pPr>
                    <w:r>
                      <w:rPr>
                        <w:b/>
                        <w:u w:val="single"/>
                      </w:rPr>
                      <w:t>Katalizators</w:t>
                    </w:r>
                  </w:p>
                  <w:p w:rsidR="00C327E6" w:rsidRDefault="00C327E6" w:rsidP="00C327E6">
                    <w:r>
                      <w:t>Nātrija hidroksīds</w:t>
                    </w:r>
                  </w:p>
                  <w:p w:rsidR="00C327E6" w:rsidRDefault="00C327E6" w:rsidP="00C327E6">
                    <w:r>
                      <w:t>Kālija hidroksīds</w:t>
                    </w:r>
                  </w:p>
                </w:txbxContent>
              </v:textbox>
            </v:shape>
            <v:shape id="Flowchart: Alternate Process 12" o:spid="_x0000_s1044" type="#_x0000_t176" style="position:absolute;left:4771;top:2038;width:2220;height:17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" fillcolor="#9bbb59" strokecolor="#f2f2f2" strokeweight="3pt">
              <v:shadow on="t" color="#4e6128" opacity=".5" offset="1pt"/>
              <v:textbox style="mso-next-textbox:#Flowchart: Alternate Process 12">
                <w:txbxContent>
                  <w:p w:rsidR="00C327E6" w:rsidRDefault="00C327E6" w:rsidP="00C327E6">
                    <w:pPr>
                      <w:spacing w:line="360" w:lineRule="auto"/>
                      <w:jc w:val="center"/>
                      <w:rPr>
                        <w:b/>
                        <w:u w:val="single"/>
                      </w:rPr>
                    </w:pPr>
                    <w:r>
                      <w:rPr>
                        <w:b/>
                        <w:u w:val="single"/>
                      </w:rPr>
                      <w:t>Spirts</w:t>
                    </w:r>
                  </w:p>
                  <w:p w:rsidR="00C327E6" w:rsidRDefault="00C327E6" w:rsidP="00C327E6">
                    <w:r>
                      <w:t>Metanols</w:t>
                    </w:r>
                  </w:p>
                  <w:p w:rsidR="00C327E6" w:rsidRDefault="00C327E6" w:rsidP="00C327E6">
                    <w:r>
                      <w:t>Etanols</w:t>
                    </w:r>
                  </w:p>
                </w:txbxContent>
              </v:textbox>
            </v:shape>
            <w10:wrap type="none"/>
            <w10:anchorlock/>
          </v:group>
        </w:pict>
      </w:r>
    </w:p>
    <w:p w:rsidR="00DC7DEC" w:rsidRPr="0075432F" w:rsidRDefault="00DC7DEC" w:rsidP="00DC7DEC">
      <w:pPr>
        <w:rPr>
          <w:rFonts w:ascii="Verdana" w:hAnsi="Verdana"/>
        </w:rPr>
      </w:pPr>
    </w:p>
    <w:p w:rsidR="00C327E6" w:rsidRPr="0075432F" w:rsidRDefault="00C327E6" w:rsidP="00DC7DEC">
      <w:pPr>
        <w:rPr>
          <w:rFonts w:ascii="Verdana" w:hAnsi="Verdana"/>
        </w:rPr>
      </w:pPr>
    </w:p>
    <w:p w:rsidR="00DC7DEC" w:rsidRPr="0075432F" w:rsidRDefault="00DC7DEC" w:rsidP="00DC7DEC">
      <w:pPr>
        <w:jc w:val="both"/>
        <w:rPr>
          <w:rFonts w:ascii="Verdana" w:hAnsi="Verdana"/>
          <w:szCs w:val="20"/>
        </w:rPr>
      </w:pPr>
      <w:r w:rsidRPr="0075432F">
        <w:rPr>
          <w:rFonts w:ascii="Verdana" w:hAnsi="Verdana"/>
        </w:rPr>
        <w:t xml:space="preserve">Šajā iedaļā tiks aprakstīts process, kurā biodīzeļdegviela tiek ražota no augu eļļām, reakcijā ar vienvērtīgu spirtu triglicerīdu eļļu sašķeļot alkilā (biodīzeļdegvielā) un glicerīnā. Tad biodīzeļdegvielas frakcija tiek atdalīta no glicerīna frakcijas un abas frakcijas tiek attīrītas. Visu ražošanas procesu posmi ir vienādi neatkarīgi no ražošanas apjoma, tomēr var ievērojami atšķirties aprīkojums. </w:t>
      </w:r>
    </w:p>
    <w:p w:rsidR="00DC7DEC" w:rsidRPr="0075432F" w:rsidRDefault="00DC7DEC" w:rsidP="00DC7DEC">
      <w:pPr>
        <w:jc w:val="both"/>
        <w:rPr>
          <w:rFonts w:ascii="Verdana" w:hAnsi="Verdana"/>
          <w:i/>
          <w:szCs w:val="20"/>
        </w:rPr>
      </w:pPr>
    </w:p>
    <w:p w:rsidR="00DC7DEC" w:rsidRPr="0075432F" w:rsidRDefault="00DC7DEC" w:rsidP="00DC7DEC">
      <w:pPr>
        <w:pStyle w:val="Heading2"/>
        <w:tabs>
          <w:tab w:val="clear" w:pos="709"/>
          <w:tab w:val="num" w:pos="697"/>
        </w:tabs>
        <w:rPr>
          <w:rFonts w:ascii="Verdana" w:hAnsi="Verdana" w:cs="Times New Roman"/>
        </w:rPr>
      </w:pPr>
      <w:bookmarkStart w:id="7" w:name="_Toc354998608"/>
      <w:bookmarkStart w:id="8" w:name="_Toc435977939"/>
      <w:r w:rsidRPr="0075432F">
        <w:rPr>
          <w:rFonts w:ascii="Verdana" w:hAnsi="Verdana"/>
        </w:rPr>
        <w:t>Augu eļļas saņemšana</w:t>
      </w:r>
      <w:bookmarkEnd w:id="7"/>
      <w:bookmarkEnd w:id="8"/>
      <w:r w:rsidRPr="0075432F">
        <w:rPr>
          <w:rFonts w:ascii="Verdana" w:hAnsi="Verdana"/>
        </w:rPr>
        <w:t xml:space="preserve"> </w:t>
      </w:r>
    </w:p>
    <w:p w:rsidR="00DC7DEC" w:rsidRPr="0075432F" w:rsidRDefault="00DC7DEC" w:rsidP="00DC7DEC">
      <w:pPr>
        <w:pStyle w:val="Heading2"/>
        <w:numPr>
          <w:ilvl w:val="0"/>
          <w:numId w:val="0"/>
        </w:numPr>
        <w:ind w:left="578"/>
        <w:rPr>
          <w:rFonts w:ascii="Verdana" w:hAnsi="Verdana" w:cs="Times New Roman"/>
        </w:rPr>
      </w:pPr>
    </w:p>
    <w:p w:rsidR="00DC7DEC" w:rsidRPr="0075432F" w:rsidRDefault="00DC7DEC" w:rsidP="00DC7DEC">
      <w:pPr>
        <w:jc w:val="both"/>
        <w:rPr>
          <w:rFonts w:ascii="Verdana" w:hAnsi="Verdana"/>
          <w:szCs w:val="20"/>
        </w:rPr>
      </w:pPr>
      <w:r w:rsidRPr="0075432F">
        <w:rPr>
          <w:rFonts w:ascii="Verdana" w:hAnsi="Verdana"/>
        </w:rPr>
        <w:t xml:space="preserve">Biodīzeļdegvielas rūpnīcām piegādātās augu eļļas ir daļēji rafinētas augu eļļas. Pirmspiegādes (kā norādīts </w:t>
      </w:r>
      <w:r w:rsidRPr="0075432F">
        <w:rPr>
          <w:rFonts w:ascii="Verdana" w:hAnsi="Verdana"/>
          <w:i/>
        </w:rPr>
        <w:t>FEDIOL</w:t>
      </w:r>
      <w:r w:rsidRPr="0075432F">
        <w:rPr>
          <w:rFonts w:ascii="Verdana" w:hAnsi="Verdana"/>
        </w:rPr>
        <w:t xml:space="preserve"> nozares atsauces dokumentā)</w:t>
      </w:r>
      <w:r w:rsidRPr="0075432F">
        <w:rPr>
          <w:rStyle w:val="FootnoteReference"/>
          <w:rFonts w:ascii="Verdana" w:hAnsi="Verdana"/>
        </w:rPr>
        <w:footnoteReference w:id="1"/>
      </w:r>
      <w:r w:rsidRPr="0075432F">
        <w:rPr>
          <w:rFonts w:ascii="Verdana" w:hAnsi="Verdana"/>
        </w:rPr>
        <w:t xml:space="preserve"> augu eļļas tiek rafinētas vairākos posmos, lai no tām atdalītu dažādus piemaisījumus, piemēram, fosfatīdus, brīvās taukskābes, vaskus, tokoferolus vai krāsvielas, kas varētu traucēt biodīzeļdegvielas ražošanai nepieciešamajā reakcijā. </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rPr>
        <w:t>Vairums vai pat visas ražošanas izejvielas tiek kaut kādā veidā iepriekš attīrītas no piemaisījumiem, vai tajās tiek samazināts brīvo taukskābju (BT) daudzums, pirms tās izmanto kā izejvielu biodīzeļdegvielas ražošanā.</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rPr>
        <w:t xml:space="preserve">Daļēji rafinētās augu eļļas pēc to piegādes tiek sadalītas pa priekšapstrādes uzglabāšanas tvertnēm. Tiek novērtēts ienākošā materiāla nekaitīgums un kvalitāte. </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rPr>
        <w:t xml:space="preserve">Brīvo taukskābju, ūdens un nepārziepjojamo vielu saturs ir galvenie parametri, kas jāņem vērā, lai varētu panākt augstu pārveides efektivitāti pāresterificēšanas reakcijā. Eļļu parametri ietekmēs izejvielu, spirta un katalizatora daudzuma attiecību pāresterificēšanas procesā. </w:t>
      </w:r>
    </w:p>
    <w:p w:rsidR="00DC7DEC" w:rsidRPr="0075432F" w:rsidRDefault="00DC7DEC" w:rsidP="00DC7DEC">
      <w:pPr>
        <w:autoSpaceDE w:val="0"/>
        <w:autoSpaceDN w:val="0"/>
        <w:adjustRightInd w:val="0"/>
        <w:jc w:val="both"/>
        <w:rPr>
          <w:rFonts w:ascii="Verdana" w:hAnsi="Verdana"/>
        </w:rPr>
      </w:pPr>
    </w:p>
    <w:p w:rsidR="00DC7DEC" w:rsidRPr="0075432F" w:rsidRDefault="00DC7DEC" w:rsidP="00DC7DEC">
      <w:pPr>
        <w:pStyle w:val="Heading2"/>
        <w:tabs>
          <w:tab w:val="clear" w:pos="709"/>
          <w:tab w:val="num" w:pos="697"/>
        </w:tabs>
        <w:rPr>
          <w:rFonts w:ascii="Verdana" w:hAnsi="Verdana" w:cs="Times New Roman"/>
        </w:rPr>
      </w:pPr>
      <w:bookmarkStart w:id="9" w:name="_Toc354998609"/>
      <w:bookmarkStart w:id="10" w:name="_Toc435977940"/>
      <w:r w:rsidRPr="0075432F">
        <w:rPr>
          <w:rFonts w:ascii="Verdana" w:hAnsi="Verdana"/>
        </w:rPr>
        <w:t>Reakcijas posms / pāresterificēšana</w:t>
      </w:r>
      <w:bookmarkEnd w:id="9"/>
      <w:bookmarkEnd w:id="10"/>
      <w:r w:rsidRPr="0075432F">
        <w:rPr>
          <w:rFonts w:ascii="Verdana" w:hAnsi="Verdana"/>
        </w:rPr>
        <w:t xml:space="preserve"> </w:t>
      </w:r>
    </w:p>
    <w:p w:rsidR="00DC7DEC" w:rsidRPr="0075432F" w:rsidRDefault="00DC7DEC" w:rsidP="00DC7DEC">
      <w:pPr>
        <w:autoSpaceDE w:val="0"/>
        <w:autoSpaceDN w:val="0"/>
        <w:adjustRightInd w:val="0"/>
        <w:jc w:val="both"/>
        <w:rPr>
          <w:rFonts w:ascii="Verdana" w:hAnsi="Verdana"/>
          <w:sz w:val="22"/>
          <w:szCs w:val="22"/>
        </w:rPr>
      </w:pPr>
    </w:p>
    <w:p w:rsidR="00DC7DEC" w:rsidRPr="0075432F" w:rsidRDefault="00DC7DEC" w:rsidP="00DC7DEC">
      <w:pPr>
        <w:autoSpaceDE w:val="0"/>
        <w:autoSpaceDN w:val="0"/>
        <w:adjustRightInd w:val="0"/>
        <w:jc w:val="both"/>
        <w:rPr>
          <w:rFonts w:ascii="Verdana" w:hAnsi="Verdana"/>
          <w:szCs w:val="20"/>
        </w:rPr>
      </w:pPr>
      <w:r w:rsidRPr="0075432F">
        <w:rPr>
          <w:rFonts w:ascii="Verdana" w:hAnsi="Verdana"/>
        </w:rPr>
        <w:t xml:space="preserve">Reakcijas posma mērķis ir pārveidot ražošanas izejvielu brīvo taukskābju (BT) frakciju par biodīzeļdegvielu. Ja BT saturs ir augsts, reakcijas posmu parasti sadala divās daļās: esterificēšanā un pāresterificēšanā. </w:t>
      </w:r>
    </w:p>
    <w:p w:rsidR="00DC7DEC" w:rsidRPr="0075432F" w:rsidRDefault="00DC7DEC" w:rsidP="00DC7DEC">
      <w:pPr>
        <w:autoSpaceDE w:val="0"/>
        <w:autoSpaceDN w:val="0"/>
        <w:adjustRightInd w:val="0"/>
        <w:jc w:val="both"/>
        <w:rPr>
          <w:rFonts w:ascii="Verdana" w:hAnsi="Verdana"/>
          <w:szCs w:val="20"/>
        </w:rPr>
      </w:pPr>
    </w:p>
    <w:p w:rsidR="00DC7DEC" w:rsidRPr="0075432F" w:rsidRDefault="00DC7DEC" w:rsidP="00DC7DEC">
      <w:pPr>
        <w:autoSpaceDE w:val="0"/>
        <w:autoSpaceDN w:val="0"/>
        <w:adjustRightInd w:val="0"/>
        <w:jc w:val="both"/>
        <w:rPr>
          <w:rFonts w:ascii="Verdana" w:hAnsi="Verdana"/>
        </w:rPr>
      </w:pPr>
      <w:r w:rsidRPr="0075432F">
        <w:rPr>
          <w:rFonts w:ascii="Verdana" w:hAnsi="Verdana"/>
        </w:rPr>
        <w:lastRenderedPageBreak/>
        <w:t xml:space="preserve">Pēc tam, kad ir veikta ienākošās augu eļļas priekšapstrādes analīze, tiek sajaukts spirts ar katalizatoru, kurus nosūta uz reakcijas trauku, kur pievieno augu eļļu (1. attēls “Darbību secības shēma”). Šo posmu sauc par esterificēšanu, un tā ir priekšapstrādes darbība, kura veicama pirms pāresterificēšanas un kurā samazina BT saturu eļļā. </w:t>
      </w:r>
    </w:p>
    <w:p w:rsidR="00DC7DEC" w:rsidRPr="0075432F" w:rsidRDefault="00DC7DEC" w:rsidP="00DC7DEC">
      <w:pPr>
        <w:autoSpaceDE w:val="0"/>
        <w:autoSpaceDN w:val="0"/>
        <w:adjustRightInd w:val="0"/>
        <w:jc w:val="both"/>
        <w:rPr>
          <w:rFonts w:ascii="Verdana" w:hAnsi="Verdana"/>
        </w:rPr>
      </w:pPr>
      <w:r w:rsidRPr="0075432F">
        <w:rPr>
          <w:rFonts w:ascii="Verdana" w:hAnsi="Verdana"/>
        </w:rPr>
        <w:t xml:space="preserve">Visu pāresterificēšanas procesu norobežo no apkārtējās vides, lai novērstu spirta zudumus. Pārpalikušo spirtu parasti izmanto, lai nodrošinātu, ka eļļa tiek pilnībā pārvērsta tās esteros. </w:t>
      </w:r>
    </w:p>
    <w:p w:rsidR="00DC7DEC" w:rsidRPr="0075432F" w:rsidRDefault="00DC7DEC" w:rsidP="00DC7DEC">
      <w:pPr>
        <w:jc w:val="both"/>
        <w:rPr>
          <w:rFonts w:ascii="Verdana" w:hAnsi="Verdana"/>
          <w:szCs w:val="20"/>
        </w:rPr>
      </w:pPr>
    </w:p>
    <w:p w:rsidR="00DC7DEC" w:rsidRPr="0075432F" w:rsidRDefault="00DC7DEC" w:rsidP="00DC7DEC">
      <w:pPr>
        <w:pStyle w:val="Heading2"/>
        <w:tabs>
          <w:tab w:val="clear" w:pos="709"/>
          <w:tab w:val="num" w:pos="697"/>
        </w:tabs>
        <w:rPr>
          <w:rFonts w:ascii="Verdana" w:hAnsi="Verdana" w:cs="Times New Roman"/>
        </w:rPr>
      </w:pPr>
      <w:bookmarkStart w:id="11" w:name="_Toc354998610"/>
      <w:bookmarkStart w:id="12" w:name="_Toc435977941"/>
      <w:r w:rsidRPr="0075432F">
        <w:rPr>
          <w:rFonts w:ascii="Verdana" w:hAnsi="Verdana"/>
        </w:rPr>
        <w:t>Atdalīšanas posms</w:t>
      </w:r>
      <w:bookmarkEnd w:id="11"/>
      <w:bookmarkEnd w:id="12"/>
    </w:p>
    <w:p w:rsidR="00DC7DEC" w:rsidRPr="0075432F" w:rsidRDefault="00DC7DEC" w:rsidP="00DC7DEC">
      <w:pPr>
        <w:autoSpaceDE w:val="0"/>
        <w:autoSpaceDN w:val="0"/>
        <w:adjustRightInd w:val="0"/>
        <w:jc w:val="both"/>
        <w:rPr>
          <w:rFonts w:ascii="Verdana" w:hAnsi="Verdana"/>
          <w:i/>
          <w:iCs/>
        </w:rPr>
      </w:pPr>
    </w:p>
    <w:p w:rsidR="00DC7DEC" w:rsidRPr="0075432F" w:rsidRDefault="00DC7DEC" w:rsidP="00DC7DEC">
      <w:pPr>
        <w:autoSpaceDE w:val="0"/>
        <w:autoSpaceDN w:val="0"/>
        <w:adjustRightInd w:val="0"/>
        <w:jc w:val="both"/>
        <w:rPr>
          <w:rFonts w:ascii="Verdana" w:hAnsi="Verdana"/>
        </w:rPr>
      </w:pPr>
      <w:r w:rsidRPr="0075432F">
        <w:rPr>
          <w:rFonts w:ascii="Verdana" w:hAnsi="Verdana"/>
        </w:rPr>
        <w:t>Kad reakcija ir beigusies, ir iegūti divi galvenie produkti: glicerīns un biodīzeļdegviela. Katrā produktā ir ievērojams reakcijā izmantotā metanola pārpalikums. Reaģējušo maisījumu dažkārt šajā posmā neitralizē, ja nepieciešams. Glicerīna frakcija ir daudz blīvāka par biodīzeļdegvielas frakciju, un abas frakcijas var atdalīt ar gravitācijas spēku, glicerīnu vienkārši nolejot no nostādināšanas trauka dibena. Dažos gadījumos abu materiālu ātrākai atdalīšanai izmanto centrifūgu.</w:t>
      </w:r>
    </w:p>
    <w:p w:rsidR="00DC7DEC" w:rsidRPr="0075432F" w:rsidRDefault="00DC7DEC" w:rsidP="00DC7DEC">
      <w:pPr>
        <w:autoSpaceDE w:val="0"/>
        <w:autoSpaceDN w:val="0"/>
        <w:adjustRightInd w:val="0"/>
        <w:jc w:val="both"/>
        <w:rPr>
          <w:rFonts w:ascii="Verdana" w:hAnsi="Verdana"/>
        </w:rPr>
      </w:pPr>
    </w:p>
    <w:p w:rsidR="00DC7DEC" w:rsidRPr="0075432F" w:rsidRDefault="00DC7DEC" w:rsidP="00DC7DEC">
      <w:pPr>
        <w:pStyle w:val="Heading2"/>
        <w:tabs>
          <w:tab w:val="clear" w:pos="709"/>
          <w:tab w:val="num" w:pos="697"/>
        </w:tabs>
        <w:rPr>
          <w:rFonts w:ascii="Verdana" w:hAnsi="Verdana" w:cs="Times New Roman"/>
        </w:rPr>
      </w:pPr>
      <w:bookmarkStart w:id="13" w:name="_Toc354998611"/>
      <w:bookmarkStart w:id="14" w:name="_Toc435977942"/>
      <w:r w:rsidRPr="0075432F">
        <w:rPr>
          <w:rFonts w:ascii="Verdana" w:hAnsi="Verdana"/>
        </w:rPr>
        <w:t>Paskābināšana un BT atdalīšana</w:t>
      </w:r>
      <w:bookmarkEnd w:id="13"/>
      <w:bookmarkEnd w:id="14"/>
    </w:p>
    <w:p w:rsidR="00DC7DEC" w:rsidRPr="0075432F" w:rsidRDefault="00DC7DEC" w:rsidP="00DC7DEC">
      <w:pPr>
        <w:autoSpaceDE w:val="0"/>
        <w:autoSpaceDN w:val="0"/>
        <w:adjustRightInd w:val="0"/>
        <w:jc w:val="both"/>
        <w:rPr>
          <w:rFonts w:ascii="Verdana" w:hAnsi="Verdana"/>
          <w:u w:val="single"/>
        </w:rPr>
      </w:pPr>
    </w:p>
    <w:p w:rsidR="00DC7DEC" w:rsidRPr="0075432F" w:rsidRDefault="00DC7DEC" w:rsidP="00DC7DEC">
      <w:pPr>
        <w:autoSpaceDE w:val="0"/>
        <w:autoSpaceDN w:val="0"/>
        <w:adjustRightInd w:val="0"/>
        <w:jc w:val="both"/>
        <w:rPr>
          <w:rFonts w:ascii="Verdana" w:hAnsi="Verdana"/>
        </w:rPr>
      </w:pPr>
      <w:r w:rsidRPr="0075432F">
        <w:rPr>
          <w:rFonts w:ascii="Verdana" w:hAnsi="Verdana"/>
        </w:rPr>
        <w:t xml:space="preserve">Parasti glicerīns pēc separatora izmantošanas satur 50 % glicerīna, 40 % metanola un 10 % ziepju un katalizatora. Katalizatoru neitralizē, bet ziepes sadala taukskābēs un sāļos. Brīvās taukskābes un metanolu atdala un reģenerē. </w:t>
      </w:r>
    </w:p>
    <w:p w:rsidR="00DC7DEC" w:rsidRPr="0075432F" w:rsidRDefault="00DC7DEC" w:rsidP="00DC7DEC">
      <w:pPr>
        <w:autoSpaceDE w:val="0"/>
        <w:autoSpaceDN w:val="0"/>
        <w:adjustRightInd w:val="0"/>
        <w:jc w:val="both"/>
        <w:rPr>
          <w:rFonts w:ascii="Verdana" w:hAnsi="Verdana"/>
          <w:bCs/>
          <w:u w:val="single"/>
        </w:rPr>
      </w:pPr>
    </w:p>
    <w:p w:rsidR="00DC7DEC" w:rsidRPr="0075432F" w:rsidRDefault="00DC7DEC" w:rsidP="00DC7DEC">
      <w:pPr>
        <w:pStyle w:val="Heading2"/>
        <w:tabs>
          <w:tab w:val="clear" w:pos="709"/>
          <w:tab w:val="num" w:pos="697"/>
        </w:tabs>
        <w:rPr>
          <w:rFonts w:ascii="Verdana" w:hAnsi="Verdana" w:cs="Times New Roman"/>
          <w:i/>
        </w:rPr>
      </w:pPr>
      <w:bookmarkStart w:id="15" w:name="_Toc354998612"/>
      <w:bookmarkStart w:id="16" w:name="_Toc435977943"/>
      <w:r w:rsidRPr="0075432F">
        <w:rPr>
          <w:rFonts w:ascii="Verdana" w:hAnsi="Verdana"/>
        </w:rPr>
        <w:t>Glicerīna neitralizācija</w:t>
      </w:r>
      <w:bookmarkEnd w:id="15"/>
      <w:bookmarkEnd w:id="16"/>
      <w:r w:rsidRPr="0075432F">
        <w:rPr>
          <w:rFonts w:ascii="Verdana" w:hAnsi="Verdana"/>
        </w:rPr>
        <w:t xml:space="preserve"> </w:t>
      </w:r>
    </w:p>
    <w:p w:rsidR="00DC7DEC" w:rsidRPr="0075432F" w:rsidRDefault="00DC7DEC" w:rsidP="00DC7DEC">
      <w:pPr>
        <w:autoSpaceDE w:val="0"/>
        <w:autoSpaceDN w:val="0"/>
        <w:adjustRightInd w:val="0"/>
        <w:jc w:val="both"/>
        <w:rPr>
          <w:rFonts w:ascii="Verdana" w:hAnsi="Verdana"/>
          <w:i/>
          <w:iCs/>
        </w:rPr>
      </w:pPr>
    </w:p>
    <w:p w:rsidR="00DC7DEC" w:rsidRPr="0075432F" w:rsidRDefault="00C477C2" w:rsidP="00DC7DEC">
      <w:pPr>
        <w:autoSpaceDE w:val="0"/>
        <w:autoSpaceDN w:val="0"/>
        <w:adjustRightInd w:val="0"/>
        <w:jc w:val="both"/>
        <w:rPr>
          <w:rFonts w:ascii="Verdana" w:eastAsia="PMingLiU" w:hAnsi="Verdana"/>
        </w:rPr>
      </w:pPr>
      <w:r w:rsidRPr="0075432F">
        <w:rPr>
          <w:rFonts w:ascii="Verdana" w:hAnsi="Verdana"/>
        </w:rPr>
        <w:t>Glicerīna blakusprodukts satur neizmantotu katalizatoru un ziepes, ko neitralizē ar skābi un nosūta uz glabātuvi kā neattīrītu glicerīnu. Dažos gadījumos šajā posmā iegūto sāli reģenerē, lai izmantotu kā mēslojumu. Vairumā gadījumu sāli atstāj glicerīnā. Ūdeni un spirtu atdala, lai iegūtu aptuveni 80 % tīra glicerīna, kas ir gatavs produkts, ko var pārdot kā neattīrītu, neitralizētu glicerīnu.</w:t>
      </w:r>
    </w:p>
    <w:p w:rsidR="00C477C2" w:rsidRPr="0075432F" w:rsidRDefault="00C477C2" w:rsidP="00DC7DEC">
      <w:pPr>
        <w:autoSpaceDE w:val="0"/>
        <w:autoSpaceDN w:val="0"/>
        <w:adjustRightInd w:val="0"/>
        <w:jc w:val="both"/>
        <w:rPr>
          <w:rFonts w:ascii="Verdana" w:eastAsia="PMingLiU" w:hAnsi="Verdana"/>
        </w:rPr>
      </w:pPr>
    </w:p>
    <w:p w:rsidR="00DC7DEC" w:rsidRPr="0075432F" w:rsidRDefault="00DC7DEC" w:rsidP="00DC7DEC">
      <w:pPr>
        <w:autoSpaceDE w:val="0"/>
        <w:autoSpaceDN w:val="0"/>
        <w:adjustRightInd w:val="0"/>
        <w:jc w:val="both"/>
        <w:rPr>
          <w:rFonts w:ascii="Verdana" w:hAnsi="Verdana"/>
        </w:rPr>
      </w:pPr>
      <w:r w:rsidRPr="0075432F">
        <w:rPr>
          <w:rFonts w:ascii="Verdana" w:hAnsi="Verdana"/>
        </w:rPr>
        <w:t>Rafinēts glicerīns: neattīrīto glicerīnu dažos gadījumos var papildus rafinēt līdz farmaceitiskai vai tehniskai kvalitātei vai barības kvalitātei, destilācijas procesā atdalot ūdeni un sāļus.</w:t>
      </w:r>
    </w:p>
    <w:p w:rsidR="00DC7DEC" w:rsidRPr="0075432F" w:rsidRDefault="00DC7DEC" w:rsidP="00DC7DEC">
      <w:pPr>
        <w:autoSpaceDE w:val="0"/>
        <w:autoSpaceDN w:val="0"/>
        <w:adjustRightInd w:val="0"/>
        <w:jc w:val="both"/>
        <w:rPr>
          <w:rFonts w:ascii="Verdana" w:hAnsi="Verdana"/>
        </w:rPr>
      </w:pPr>
    </w:p>
    <w:p w:rsidR="00DC7DEC" w:rsidRPr="0075432F" w:rsidRDefault="00DC7DEC" w:rsidP="00DC7DEC">
      <w:pPr>
        <w:pStyle w:val="Heading2"/>
        <w:tabs>
          <w:tab w:val="clear" w:pos="709"/>
          <w:tab w:val="num" w:pos="697"/>
        </w:tabs>
        <w:rPr>
          <w:rFonts w:ascii="Verdana" w:hAnsi="Verdana" w:cs="Times New Roman"/>
        </w:rPr>
      </w:pPr>
      <w:bookmarkStart w:id="17" w:name="_Toc354998613"/>
      <w:bookmarkStart w:id="18" w:name="_Toc435977944"/>
      <w:r w:rsidRPr="0075432F">
        <w:rPr>
          <w:rFonts w:ascii="Verdana" w:hAnsi="Verdana"/>
        </w:rPr>
        <w:t>Metilesteru skalošana</w:t>
      </w:r>
      <w:bookmarkEnd w:id="17"/>
      <w:bookmarkEnd w:id="18"/>
    </w:p>
    <w:p w:rsidR="00DC7DEC" w:rsidRPr="0075432F" w:rsidRDefault="00DC7DEC" w:rsidP="00DC7DEC">
      <w:pPr>
        <w:autoSpaceDE w:val="0"/>
        <w:autoSpaceDN w:val="0"/>
        <w:adjustRightInd w:val="0"/>
        <w:jc w:val="both"/>
        <w:rPr>
          <w:rFonts w:ascii="Verdana" w:hAnsi="Verdana"/>
        </w:rPr>
      </w:pPr>
    </w:p>
    <w:p w:rsidR="00DC7DEC" w:rsidRPr="0075432F" w:rsidRDefault="00DC7DEC" w:rsidP="00DC7DEC">
      <w:pPr>
        <w:autoSpaceDE w:val="0"/>
        <w:autoSpaceDN w:val="0"/>
        <w:adjustRightInd w:val="0"/>
        <w:jc w:val="both"/>
        <w:rPr>
          <w:rFonts w:ascii="Verdana" w:hAnsi="Verdana"/>
        </w:rPr>
      </w:pPr>
      <w:r w:rsidRPr="0075432F">
        <w:rPr>
          <w:rFonts w:ascii="Verdana" w:hAnsi="Verdana"/>
        </w:rPr>
        <w:t xml:space="preserve">Pēc atdalīšanas no glicerīna biodīzeļdegvielu dažkārt attīra, viegli skalojot ar siltu ūdeni, lai atdalītu lieko katalizatoru vai ziepes, žāvē un nosūta uz glabātuvi. Dažos procesos šis posms nav vajadzīgs. Dažās sistēmās biodīzeļdegvielu destilē. Šā posma īstenošanas rezultātā palielinās biodīzeļdegvielas tīrība, bet tā veikšana nav obligāta. </w:t>
      </w:r>
    </w:p>
    <w:p w:rsidR="00DC7DEC" w:rsidRPr="0075432F" w:rsidRDefault="00DC7DEC" w:rsidP="00DC7DEC">
      <w:pPr>
        <w:autoSpaceDE w:val="0"/>
        <w:autoSpaceDN w:val="0"/>
        <w:adjustRightInd w:val="0"/>
        <w:jc w:val="both"/>
        <w:rPr>
          <w:rFonts w:ascii="Verdana" w:hAnsi="Verdana"/>
        </w:rPr>
      </w:pPr>
    </w:p>
    <w:p w:rsidR="00DC7DEC" w:rsidRPr="0075432F" w:rsidRDefault="00DC7DEC" w:rsidP="00DC7DEC">
      <w:pPr>
        <w:pStyle w:val="Heading2"/>
        <w:tabs>
          <w:tab w:val="clear" w:pos="709"/>
          <w:tab w:val="num" w:pos="697"/>
        </w:tabs>
        <w:rPr>
          <w:rFonts w:ascii="Verdana" w:hAnsi="Verdana" w:cs="Times New Roman"/>
        </w:rPr>
      </w:pPr>
      <w:bookmarkStart w:id="19" w:name="_Toc354998614"/>
      <w:bookmarkStart w:id="20" w:name="_Toc435977945"/>
      <w:r w:rsidRPr="0075432F">
        <w:rPr>
          <w:rFonts w:ascii="Verdana" w:hAnsi="Verdana"/>
        </w:rPr>
        <w:t>Uzglabāšana</w:t>
      </w:r>
      <w:bookmarkEnd w:id="19"/>
      <w:bookmarkEnd w:id="20"/>
    </w:p>
    <w:p w:rsidR="00DC7DEC" w:rsidRPr="0075432F" w:rsidRDefault="00DC7DEC" w:rsidP="00DC7DEC">
      <w:pPr>
        <w:autoSpaceDE w:val="0"/>
        <w:autoSpaceDN w:val="0"/>
        <w:adjustRightInd w:val="0"/>
        <w:jc w:val="both"/>
        <w:rPr>
          <w:rFonts w:ascii="Verdana" w:hAnsi="Verdana"/>
        </w:rPr>
      </w:pPr>
    </w:p>
    <w:p w:rsidR="00DC7DEC" w:rsidRPr="0075432F" w:rsidRDefault="00DC7DEC" w:rsidP="00DC7DEC">
      <w:pPr>
        <w:autoSpaceDE w:val="0"/>
        <w:autoSpaceDN w:val="0"/>
        <w:adjustRightInd w:val="0"/>
        <w:jc w:val="both"/>
        <w:rPr>
          <w:rFonts w:ascii="Verdana" w:hAnsi="Verdana"/>
        </w:rPr>
      </w:pPr>
      <w:r w:rsidRPr="0075432F">
        <w:rPr>
          <w:rFonts w:ascii="Verdana" w:hAnsi="Verdana"/>
        </w:rPr>
        <w:t>Glicerīnu uzglabā piemērotās uzglabāšanas tvertnēs.</w:t>
      </w:r>
    </w:p>
    <w:p w:rsidR="00DC7DEC" w:rsidRPr="0075432F" w:rsidRDefault="00DC7DEC" w:rsidP="00DC7DEC">
      <w:pPr>
        <w:autoSpaceDE w:val="0"/>
        <w:autoSpaceDN w:val="0"/>
        <w:adjustRightInd w:val="0"/>
        <w:jc w:val="both"/>
        <w:rPr>
          <w:rFonts w:ascii="Verdana" w:hAnsi="Verdana"/>
        </w:rPr>
      </w:pPr>
    </w:p>
    <w:p w:rsidR="00DC7DEC" w:rsidRPr="0075432F" w:rsidRDefault="00DC7DEC" w:rsidP="00DC7DEC">
      <w:pPr>
        <w:pStyle w:val="Heading2"/>
        <w:tabs>
          <w:tab w:val="clear" w:pos="709"/>
          <w:tab w:val="num" w:pos="697"/>
        </w:tabs>
        <w:rPr>
          <w:rFonts w:ascii="Verdana" w:hAnsi="Verdana" w:cs="Times New Roman"/>
        </w:rPr>
      </w:pPr>
      <w:bookmarkStart w:id="21" w:name="_Toc354998615"/>
      <w:bookmarkStart w:id="22" w:name="_Toc435977946"/>
      <w:r w:rsidRPr="0075432F">
        <w:rPr>
          <w:rFonts w:ascii="Verdana" w:hAnsi="Verdana"/>
        </w:rPr>
        <w:t>Transportēšana</w:t>
      </w:r>
      <w:bookmarkEnd w:id="21"/>
      <w:bookmarkEnd w:id="22"/>
    </w:p>
    <w:p w:rsidR="00DC7DEC" w:rsidRPr="0075432F" w:rsidRDefault="00DC7DEC" w:rsidP="00DC7DEC">
      <w:pPr>
        <w:autoSpaceDE w:val="0"/>
        <w:autoSpaceDN w:val="0"/>
        <w:adjustRightInd w:val="0"/>
        <w:jc w:val="both"/>
        <w:rPr>
          <w:rFonts w:ascii="Verdana" w:hAnsi="Verdana"/>
          <w:szCs w:val="20"/>
        </w:rPr>
      </w:pPr>
    </w:p>
    <w:p w:rsidR="00DC7DEC" w:rsidRPr="0075432F" w:rsidRDefault="00DC7DEC" w:rsidP="00DC7DEC">
      <w:pPr>
        <w:autoSpaceDE w:val="0"/>
        <w:autoSpaceDN w:val="0"/>
        <w:adjustRightInd w:val="0"/>
        <w:jc w:val="both"/>
        <w:rPr>
          <w:rFonts w:ascii="Verdana" w:hAnsi="Verdana"/>
          <w:b/>
        </w:rPr>
      </w:pPr>
      <w:r w:rsidRPr="0075432F">
        <w:rPr>
          <w:rFonts w:ascii="Verdana" w:hAnsi="Verdana"/>
        </w:rPr>
        <w:t>Pārstrādātais atvasinātais produkts glicerīns ir jātransportē. Transportējot atvasināto produktu, ir jāievēro ES un valsts tiesību akti, spēkā esošie transportēšanas kodeksi, klienta prasības, kā arī prasības, kas noteiktas šajā kodeksā “Nozares atsauces dokuments par nekaitīgu barības sastāvdaļu ražošanu biodīzeļdegvielas pārstrādes procesā”.</w:t>
      </w:r>
      <w:r w:rsidRPr="0075432F">
        <w:rPr>
          <w:rFonts w:ascii="Verdana" w:hAnsi="Verdana"/>
          <w:b/>
        </w:rPr>
        <w:t xml:space="preserve"> </w:t>
      </w:r>
    </w:p>
    <w:p w:rsidR="00861F33" w:rsidRPr="0075432F" w:rsidRDefault="00861F33" w:rsidP="00DC7DEC">
      <w:pPr>
        <w:autoSpaceDE w:val="0"/>
        <w:autoSpaceDN w:val="0"/>
        <w:adjustRightInd w:val="0"/>
        <w:jc w:val="both"/>
        <w:rPr>
          <w:rFonts w:ascii="Verdana" w:hAnsi="Verdana"/>
          <w:b/>
          <w:color w:val="4F81BD"/>
          <w:szCs w:val="20"/>
        </w:rPr>
      </w:pPr>
    </w:p>
    <w:p w:rsidR="00DC7DEC" w:rsidRPr="0075432F" w:rsidRDefault="00DC7DEC" w:rsidP="00DC7DEC">
      <w:pPr>
        <w:pStyle w:val="Heading1"/>
        <w:numPr>
          <w:ilvl w:val="0"/>
          <w:numId w:val="28"/>
        </w:numPr>
        <w:tabs>
          <w:tab w:val="clear" w:pos="432"/>
          <w:tab w:val="num" w:pos="420"/>
        </w:tabs>
        <w:rPr>
          <w:rFonts w:ascii="Verdana" w:hAnsi="Verdana"/>
        </w:rPr>
      </w:pPr>
      <w:bookmarkStart w:id="23" w:name="_Toc354998616"/>
      <w:bookmarkStart w:id="24" w:name="_Toc435977947"/>
      <w:r w:rsidRPr="0075432F">
        <w:rPr>
          <w:rFonts w:ascii="Verdana" w:hAnsi="Verdana"/>
        </w:rPr>
        <w:t>Biodīzeļdegvielas ražošanas procesā īstenojamo darbību secības shēma</w:t>
      </w:r>
      <w:bookmarkEnd w:id="23"/>
      <w:bookmarkEnd w:id="24"/>
    </w:p>
    <w:p w:rsidR="00DC7DEC" w:rsidRPr="0075432F" w:rsidRDefault="00DC7DEC" w:rsidP="00DC7DEC">
      <w:pPr>
        <w:jc w:val="both"/>
        <w:rPr>
          <w:rFonts w:ascii="Verdana" w:hAnsi="Verdana"/>
        </w:rPr>
      </w:pPr>
    </w:p>
    <w:p w:rsidR="00DC7DEC" w:rsidRPr="0075432F" w:rsidRDefault="00DC7DEC" w:rsidP="00DC7DEC">
      <w:pPr>
        <w:jc w:val="both"/>
        <w:rPr>
          <w:rFonts w:ascii="Verdana" w:hAnsi="Verdana"/>
        </w:rPr>
      </w:pPr>
      <w:r w:rsidRPr="0075432F">
        <w:rPr>
          <w:rFonts w:ascii="Verdana" w:hAnsi="Verdana"/>
        </w:rPr>
        <w:t>Šajā shēmā biodīzeļdegvielas ražošanas process ir aprakstīts ļoti vispārīgi.</w:t>
      </w:r>
    </w:p>
    <w:p w:rsidR="00DC7DEC" w:rsidRPr="0075432F" w:rsidRDefault="00DC7DEC" w:rsidP="00DC7DEC">
      <w:pPr>
        <w:jc w:val="both"/>
        <w:rPr>
          <w:rFonts w:ascii="Verdana" w:hAnsi="Verdana"/>
        </w:rPr>
      </w:pPr>
    </w:p>
    <w:p w:rsidR="00DC7DEC" w:rsidRPr="0075432F" w:rsidRDefault="00DC7DEC" w:rsidP="00DC7DEC">
      <w:pPr>
        <w:jc w:val="both"/>
        <w:rPr>
          <w:rFonts w:ascii="Verdana" w:hAnsi="Verdana"/>
        </w:rPr>
      </w:pPr>
    </w:p>
    <w:p w:rsidR="00DC7DEC" w:rsidRPr="0075432F" w:rsidRDefault="00A75F76" w:rsidP="00DC7DEC">
      <w:pPr>
        <w:tabs>
          <w:tab w:val="left" w:pos="7980"/>
        </w:tabs>
        <w:ind w:hanging="567"/>
        <w:jc w:val="both"/>
        <w:rPr>
          <w:rFonts w:ascii="Verdana" w:hAnsi="Verdana"/>
          <w:szCs w:val="20"/>
        </w:rPr>
      </w:pPr>
      <w:r w:rsidRPr="0075432F">
        <w:rPr>
          <w:noProof/>
          <w:lang w:val="en-GB" w:eastAsia="en-GB" w:bidi="ar-SA"/>
        </w:rPr>
        <w:drawing>
          <wp:inline distT="0" distB="0" distL="0" distR="0" wp14:anchorId="7E770428" wp14:editId="36E76971">
            <wp:extent cx="5612130" cy="4119078"/>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612130" cy="4119078"/>
                    </a:xfrm>
                    <a:prstGeom prst="rect">
                      <a:avLst/>
                    </a:prstGeom>
                    <a:noFill/>
                    <a:ln w="9525">
                      <a:noFill/>
                      <a:miter lim="800000"/>
                      <a:headEnd/>
                      <a:tailEnd/>
                    </a:ln>
                  </pic:spPr>
                </pic:pic>
              </a:graphicData>
            </a:graphic>
          </wp:inline>
        </w:drawing>
      </w: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center"/>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tabs>
          <w:tab w:val="left" w:pos="7980"/>
        </w:tabs>
        <w:jc w:val="both"/>
        <w:rPr>
          <w:rFonts w:ascii="Verdana" w:hAnsi="Verdana"/>
          <w:szCs w:val="20"/>
        </w:rPr>
      </w:pPr>
    </w:p>
    <w:p w:rsidR="00DC7DEC" w:rsidRPr="0075432F" w:rsidRDefault="00DC7DEC" w:rsidP="00DC7DEC">
      <w:pPr>
        <w:rPr>
          <w:rFonts w:ascii="Verdana" w:hAnsi="Verdana"/>
          <w:szCs w:val="20"/>
        </w:rPr>
      </w:pPr>
      <w:r w:rsidRPr="0075432F">
        <w:rPr>
          <w:rFonts w:ascii="Verdana" w:hAnsi="Verdana"/>
        </w:rPr>
        <w:br w:type="page"/>
      </w:r>
    </w:p>
    <w:p w:rsidR="00DC7DEC" w:rsidRPr="0075432F" w:rsidRDefault="00DC7DEC" w:rsidP="00DC7DEC">
      <w:pPr>
        <w:pStyle w:val="Heading1"/>
        <w:jc w:val="both"/>
        <w:rPr>
          <w:rFonts w:ascii="Verdana" w:hAnsi="Verdana"/>
        </w:rPr>
      </w:pPr>
      <w:bookmarkStart w:id="25" w:name="_Toc354998617"/>
      <w:bookmarkStart w:id="26" w:name="_Toc435977948"/>
      <w:r w:rsidRPr="0075432F">
        <w:rPr>
          <w:rFonts w:ascii="Verdana" w:hAnsi="Verdana"/>
        </w:rPr>
        <w:lastRenderedPageBreak/>
        <w:t>Riska novērtējums</w:t>
      </w:r>
      <w:bookmarkEnd w:id="25"/>
      <w:bookmarkEnd w:id="26"/>
      <w:r w:rsidRPr="0075432F">
        <w:rPr>
          <w:rFonts w:ascii="Verdana" w:hAnsi="Verdana"/>
        </w:rPr>
        <w:t xml:space="preserve"> </w:t>
      </w:r>
    </w:p>
    <w:p w:rsidR="00DC7DEC" w:rsidRPr="0075432F" w:rsidRDefault="00DC7DEC" w:rsidP="00DC7DEC">
      <w:pPr>
        <w:rPr>
          <w:rFonts w:ascii="Verdana" w:hAnsi="Verdana"/>
        </w:rPr>
      </w:pPr>
    </w:p>
    <w:p w:rsidR="00DC7DEC" w:rsidRPr="0075432F" w:rsidRDefault="00DC7DEC" w:rsidP="00DC7DEC">
      <w:pPr>
        <w:pStyle w:val="Heading2"/>
        <w:tabs>
          <w:tab w:val="clear" w:pos="709"/>
          <w:tab w:val="num" w:pos="697"/>
        </w:tabs>
        <w:rPr>
          <w:rFonts w:ascii="Verdana" w:hAnsi="Verdana" w:cs="Times New Roman"/>
        </w:rPr>
      </w:pPr>
      <w:bookmarkStart w:id="27" w:name="_Toc354998618"/>
      <w:bookmarkStart w:id="28" w:name="_Toc435977949"/>
      <w:r w:rsidRPr="0075432F">
        <w:rPr>
          <w:rFonts w:ascii="Verdana" w:hAnsi="Verdana"/>
          <w:i/>
        </w:rPr>
        <w:t>EBB</w:t>
      </w:r>
      <w:r w:rsidRPr="0075432F">
        <w:rPr>
          <w:rFonts w:ascii="Verdana" w:hAnsi="Verdana"/>
        </w:rPr>
        <w:t xml:space="preserve"> veica barības nekaitīguma ķēdes riska novērtējumu šādiem ienākošajiem materiāliem</w:t>
      </w:r>
      <w:bookmarkEnd w:id="27"/>
      <w:bookmarkEnd w:id="28"/>
    </w:p>
    <w:p w:rsidR="00DC7DEC" w:rsidRPr="0075432F" w:rsidRDefault="00DC7DEC" w:rsidP="00DC7DEC">
      <w:pPr>
        <w:rPr>
          <w:rFonts w:ascii="Verdana" w:hAnsi="Verdana"/>
        </w:rPr>
      </w:pPr>
    </w:p>
    <w:p w:rsidR="00DC7DEC" w:rsidRPr="0075432F" w:rsidRDefault="00DC7DEC" w:rsidP="00DC7DEC">
      <w:pPr>
        <w:rPr>
          <w:rFonts w:ascii="Verdana" w:hAnsi="Verdana"/>
        </w:rPr>
      </w:pPr>
      <w:r w:rsidRPr="0075432F">
        <w:rPr>
          <w:rFonts w:ascii="Verdana" w:hAnsi="Verdana"/>
        </w:rPr>
        <w:t xml:space="preserve">Izejviela: augu eļļas </w:t>
      </w:r>
    </w:p>
    <w:p w:rsidR="00DC7DEC" w:rsidRPr="0075432F" w:rsidRDefault="00DC7DEC" w:rsidP="00DC7DEC">
      <w:pPr>
        <w:pStyle w:val="NormalWeb"/>
        <w:jc w:val="both"/>
        <w:rPr>
          <w:rFonts w:ascii="Verdana" w:hAnsi="Verdana" w:cs="Times New Roman"/>
          <w:color w:val="auto"/>
        </w:rPr>
      </w:pPr>
      <w:r w:rsidRPr="0075432F">
        <w:rPr>
          <w:rFonts w:ascii="Verdana" w:hAnsi="Verdana"/>
          <w:color w:val="auto"/>
        </w:rPr>
        <w:t xml:space="preserve">Visos gadījumos sagaidāms, ka biodīzeļdegvielas rūpnīcās tiks ievērotas prasības, kas attiecas uz riska novērtējumiem. </w:t>
      </w:r>
      <w:r w:rsidRPr="0075432F">
        <w:rPr>
          <w:rFonts w:ascii="Verdana" w:hAnsi="Verdana"/>
        </w:rPr>
        <w:t xml:space="preserve">Apdraudējumu tabula ir iekļauta </w:t>
      </w:r>
      <w:hyperlink r:id="rId17" w:anchor="appendix1">
        <w:r w:rsidRPr="0075432F">
          <w:rPr>
            <w:rFonts w:ascii="Verdana" w:hAnsi="Verdana"/>
            <w:color w:val="auto"/>
          </w:rPr>
          <w:t>1. </w:t>
        </w:r>
        <w:r w:rsidR="00820A21">
          <w:rPr>
            <w:rFonts w:ascii="Verdana" w:hAnsi="Verdana"/>
            <w:color w:val="auto"/>
          </w:rPr>
          <w:t>papildinājumā</w:t>
        </w:r>
      </w:hyperlink>
      <w:r w:rsidRPr="0075432F">
        <w:rPr>
          <w:rFonts w:ascii="Verdana" w:hAnsi="Verdana"/>
          <w:color w:val="auto"/>
        </w:rPr>
        <w:t>, bet personām jāņem vērā, ka šis saraksts nav izsmeļošs un operatoram būtu jāveic pašam savi riska novērtējumi. Plašāka informācija par konkrētiem apdraudējumiem un kontroles pasākumiem ir pieejama riska novērtēšanas tabulās, kas dotas attiecīgajās Apvienotās Karalistes Veselības un drošības pārvaldes (</w:t>
      </w:r>
      <w:r w:rsidRPr="0075432F">
        <w:rPr>
          <w:rFonts w:ascii="Verdana" w:hAnsi="Verdana"/>
          <w:i/>
          <w:color w:val="auto"/>
        </w:rPr>
        <w:t>HSE</w:t>
      </w:r>
      <w:r w:rsidRPr="0075432F">
        <w:rPr>
          <w:rFonts w:ascii="Verdana" w:hAnsi="Verdana"/>
          <w:color w:val="auto"/>
        </w:rPr>
        <w:t>) publikācijās un EK regulās.</w:t>
      </w:r>
    </w:p>
    <w:p w:rsidR="00DC7DEC" w:rsidRPr="0075432F" w:rsidRDefault="00DC7DEC" w:rsidP="00DC7DEC">
      <w:pPr>
        <w:pStyle w:val="Heading2"/>
        <w:rPr>
          <w:rFonts w:ascii="Verdana" w:hAnsi="Verdana" w:cs="Times New Roman"/>
        </w:rPr>
      </w:pPr>
      <w:bookmarkStart w:id="29" w:name="Summery_risk_approach"/>
      <w:bookmarkStart w:id="30" w:name="_Toc354998619"/>
      <w:bookmarkStart w:id="31" w:name="_Toc435977950"/>
      <w:r w:rsidRPr="0075432F">
        <w:rPr>
          <w:rFonts w:ascii="Verdana" w:hAnsi="Verdana"/>
        </w:rPr>
        <w:t>Kopsavilkums par biodīzeļdegvielas nozarē izmantojamo, uz riska izvērtēšanu balstīto pieeju</w:t>
      </w:r>
      <w:bookmarkEnd w:id="29"/>
      <w:bookmarkEnd w:id="30"/>
      <w:bookmarkEnd w:id="31"/>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rPr>
        <w:t>Sastādot potenciālo apdraudējumu sarakstu, operatoram būtu pienācīgi jāņem vērā:</w:t>
      </w:r>
    </w:p>
    <w:p w:rsidR="00DC7DEC" w:rsidRPr="0075432F" w:rsidRDefault="00DC7DEC" w:rsidP="00DC7DEC">
      <w:pPr>
        <w:jc w:val="both"/>
        <w:rPr>
          <w:rFonts w:ascii="Verdana" w:hAnsi="Verdana"/>
          <w:szCs w:val="20"/>
        </w:rPr>
      </w:pPr>
    </w:p>
    <w:p w:rsidR="00DC7DEC" w:rsidRPr="0075432F" w:rsidRDefault="00DC7DEC" w:rsidP="00DC7DEC">
      <w:pPr>
        <w:numPr>
          <w:ilvl w:val="0"/>
          <w:numId w:val="39"/>
        </w:numPr>
        <w:jc w:val="both"/>
        <w:rPr>
          <w:rFonts w:ascii="Verdana" w:hAnsi="Verdana"/>
          <w:szCs w:val="20"/>
        </w:rPr>
      </w:pPr>
      <w:r w:rsidRPr="0075432F">
        <w:rPr>
          <w:rFonts w:ascii="Verdana" w:hAnsi="Verdana"/>
        </w:rPr>
        <w:t xml:space="preserve">Direktīva 2002/32/EK par nevēlamām vielām dzīvnieku barībā; </w:t>
      </w:r>
    </w:p>
    <w:p w:rsidR="00DC7DEC" w:rsidRPr="0075432F" w:rsidRDefault="00DC7DEC" w:rsidP="00DC7DEC">
      <w:pPr>
        <w:numPr>
          <w:ilvl w:val="0"/>
          <w:numId w:val="39"/>
        </w:numPr>
        <w:autoSpaceDE w:val="0"/>
        <w:autoSpaceDN w:val="0"/>
        <w:adjustRightInd w:val="0"/>
        <w:spacing w:before="80" w:after="80"/>
        <w:jc w:val="both"/>
        <w:rPr>
          <w:rFonts w:ascii="Verdana" w:hAnsi="Verdana"/>
          <w:szCs w:val="20"/>
        </w:rPr>
      </w:pPr>
      <w:r w:rsidRPr="0075432F">
        <w:rPr>
          <w:rFonts w:ascii="Verdana" w:hAnsi="Verdana"/>
        </w:rPr>
        <w:t>Regula (EK) Nr. 1829/2003 par ģenētiski modificētu pārtiku un barību;</w:t>
      </w:r>
    </w:p>
    <w:p w:rsidR="00DC7DEC" w:rsidRPr="0075432F" w:rsidRDefault="00DC7DEC" w:rsidP="00DC7DEC">
      <w:pPr>
        <w:numPr>
          <w:ilvl w:val="0"/>
          <w:numId w:val="39"/>
        </w:numPr>
        <w:autoSpaceDE w:val="0"/>
        <w:autoSpaceDN w:val="0"/>
        <w:adjustRightInd w:val="0"/>
        <w:spacing w:before="80" w:after="80"/>
        <w:jc w:val="both"/>
        <w:rPr>
          <w:rFonts w:ascii="Verdana" w:hAnsi="Verdana"/>
          <w:szCs w:val="20"/>
        </w:rPr>
      </w:pPr>
      <w:r w:rsidRPr="0075432F">
        <w:rPr>
          <w:rFonts w:ascii="Verdana" w:hAnsi="Verdana"/>
        </w:rPr>
        <w:t>Regula (EK) Nr. 767/2009 par laišanu tirgū;</w:t>
      </w:r>
    </w:p>
    <w:p w:rsidR="00DC7DEC" w:rsidRPr="0075432F" w:rsidRDefault="00DC7DEC" w:rsidP="00DC7DEC">
      <w:pPr>
        <w:numPr>
          <w:ilvl w:val="0"/>
          <w:numId w:val="39"/>
        </w:numPr>
        <w:autoSpaceDE w:val="0"/>
        <w:autoSpaceDN w:val="0"/>
        <w:adjustRightInd w:val="0"/>
        <w:spacing w:before="80" w:after="80"/>
        <w:jc w:val="both"/>
        <w:rPr>
          <w:rFonts w:ascii="Verdana" w:hAnsi="Verdana"/>
          <w:szCs w:val="20"/>
        </w:rPr>
      </w:pPr>
      <w:r w:rsidRPr="0075432F">
        <w:rPr>
          <w:rFonts w:ascii="Verdana" w:hAnsi="Verdana"/>
        </w:rPr>
        <w:t>Regula (EK) Nr. 396/2005, ar ko paredz maksimāli pieļaujamos pesticīdu atlieku līmeņus augu un dzīvnieku izcelsmes pārtikā un barībā;</w:t>
      </w:r>
    </w:p>
    <w:p w:rsidR="00DC7DEC" w:rsidRPr="0075432F" w:rsidRDefault="00DC7DEC" w:rsidP="00DC7DEC">
      <w:pPr>
        <w:numPr>
          <w:ilvl w:val="0"/>
          <w:numId w:val="39"/>
        </w:numPr>
        <w:autoSpaceDE w:val="0"/>
        <w:autoSpaceDN w:val="0"/>
        <w:adjustRightInd w:val="0"/>
        <w:spacing w:before="80" w:after="80"/>
        <w:jc w:val="both"/>
        <w:rPr>
          <w:rFonts w:ascii="Verdana" w:hAnsi="Verdana"/>
          <w:szCs w:val="20"/>
        </w:rPr>
      </w:pPr>
      <w:r w:rsidRPr="0075432F">
        <w:rPr>
          <w:rFonts w:ascii="Verdana" w:hAnsi="Verdana"/>
        </w:rPr>
        <w:t>Regula (ES) Nr. 68/2013, ar ko izveido barības sastāvdaļu reģistru;</w:t>
      </w:r>
    </w:p>
    <w:p w:rsidR="00DC7DEC" w:rsidRPr="0075432F" w:rsidRDefault="00DC7DEC" w:rsidP="00DC7DEC">
      <w:pPr>
        <w:numPr>
          <w:ilvl w:val="0"/>
          <w:numId w:val="39"/>
        </w:numPr>
        <w:autoSpaceDE w:val="0"/>
        <w:autoSpaceDN w:val="0"/>
        <w:adjustRightInd w:val="0"/>
        <w:spacing w:before="80" w:after="80"/>
        <w:jc w:val="both"/>
        <w:rPr>
          <w:rFonts w:ascii="Verdana" w:hAnsi="Verdana"/>
          <w:szCs w:val="20"/>
        </w:rPr>
      </w:pPr>
      <w:r w:rsidRPr="0075432F">
        <w:rPr>
          <w:rFonts w:ascii="Verdana" w:hAnsi="Verdana"/>
        </w:rPr>
        <w:t>Regula (ES) Nr. 225/2012 attiecībā uz to uzņēmumu apstiprināšanu, kas laiž tirgū no augu eļļām iegūtus produktus un tauku maisījumus izmantošanai barībā, un attiecībā uz īpašām prasībām eļļu, tauku un no tiem atvasinātu produktu ražošanai, uzglabāšanai, transportēšanai un dioksīna testēšanai.</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rPr>
        <w:t>Turpmāk dotais piemēru saraksts nav izsmeļošs un būtu jāpielāgo attiecīgajiem apstākļiem.</w:t>
      </w:r>
    </w:p>
    <w:p w:rsidR="00DC7DEC" w:rsidRPr="0075432F" w:rsidRDefault="00DC7DEC" w:rsidP="00DC7DEC">
      <w:pPr>
        <w:rPr>
          <w:rFonts w:ascii="Verdana" w:hAnsi="Verdana"/>
          <w:szCs w:val="20"/>
        </w:rPr>
      </w:pPr>
    </w:p>
    <w:p w:rsidR="00DC7DEC" w:rsidRPr="0075432F" w:rsidRDefault="00DC7DEC" w:rsidP="00DC7DEC">
      <w:pPr>
        <w:rPr>
          <w:rFonts w:ascii="Verdana" w:hAnsi="Verdana"/>
          <w:b/>
          <w:bCs/>
          <w:iCs/>
          <w:szCs w:val="20"/>
        </w:rPr>
      </w:pPr>
      <w:r w:rsidRPr="0075432F">
        <w:rPr>
          <w:rFonts w:ascii="Verdana" w:hAnsi="Verdana"/>
          <w:b/>
        </w:rPr>
        <w:t>Bioloģiski apdraudējumi</w:t>
      </w:r>
    </w:p>
    <w:p w:rsidR="00DC7DEC" w:rsidRPr="0075432F" w:rsidRDefault="00DC7DEC" w:rsidP="00DC7DEC">
      <w:pPr>
        <w:rPr>
          <w:rFonts w:ascii="Verdana" w:hAnsi="Verdana"/>
          <w:szCs w:val="20"/>
        </w:rPr>
      </w:pPr>
    </w:p>
    <w:p w:rsidR="00DC7DEC" w:rsidRPr="0075432F" w:rsidRDefault="006B7475" w:rsidP="00DC7DEC">
      <w:pPr>
        <w:numPr>
          <w:ilvl w:val="0"/>
          <w:numId w:val="40"/>
        </w:numPr>
        <w:jc w:val="both"/>
        <w:rPr>
          <w:rFonts w:ascii="Verdana" w:hAnsi="Verdana"/>
          <w:szCs w:val="20"/>
        </w:rPr>
      </w:pPr>
      <w:r w:rsidRPr="0075432F">
        <w:rPr>
          <w:rFonts w:ascii="Verdana" w:hAnsi="Verdana"/>
        </w:rPr>
        <w:t xml:space="preserve">Attiecīgie augu patogēni saskaņā ar </w:t>
      </w:r>
      <w:r w:rsidR="00F936FB">
        <w:rPr>
          <w:rFonts w:ascii="Verdana" w:hAnsi="Verdana"/>
        </w:rPr>
        <w:t>barības higiēnas regulu</w:t>
      </w:r>
      <w:r w:rsidRPr="0075432F">
        <w:rPr>
          <w:rFonts w:ascii="Verdana" w:hAnsi="Verdana"/>
        </w:rPr>
        <w:t xml:space="preserve"> un saistītajiem mikrobioloģiskajiem kritērijiem</w:t>
      </w:r>
      <w:r w:rsidR="00DC7DEC" w:rsidRPr="0075432F">
        <w:rPr>
          <w:rFonts w:ascii="Verdana" w:hAnsi="Verdana"/>
        </w:rPr>
        <w:t>.</w:t>
      </w:r>
    </w:p>
    <w:p w:rsidR="00DC7DEC" w:rsidRPr="0075432F" w:rsidRDefault="00DC7DEC" w:rsidP="00DC7DEC">
      <w:pPr>
        <w:ind w:left="360"/>
        <w:jc w:val="both"/>
        <w:rPr>
          <w:rFonts w:ascii="Verdana" w:hAnsi="Verdana"/>
          <w:szCs w:val="20"/>
        </w:rPr>
      </w:pPr>
    </w:p>
    <w:p w:rsidR="00DC7DEC" w:rsidRPr="0075432F" w:rsidRDefault="00DC7DEC" w:rsidP="00DC7DEC">
      <w:pPr>
        <w:rPr>
          <w:rFonts w:ascii="Verdana" w:hAnsi="Verdana"/>
          <w:b/>
          <w:bCs/>
          <w:iCs/>
          <w:szCs w:val="20"/>
        </w:rPr>
      </w:pPr>
      <w:r w:rsidRPr="0075432F">
        <w:rPr>
          <w:rFonts w:ascii="Verdana" w:hAnsi="Verdana"/>
          <w:b/>
        </w:rPr>
        <w:t>Potenciāli ķīmiski apdraudējumi</w:t>
      </w:r>
    </w:p>
    <w:p w:rsidR="00DC7DEC" w:rsidRPr="0075432F" w:rsidRDefault="00DC7DEC" w:rsidP="00DC7DEC">
      <w:pPr>
        <w:numPr>
          <w:ilvl w:val="0"/>
          <w:numId w:val="41"/>
        </w:numPr>
        <w:spacing w:before="120"/>
        <w:jc w:val="both"/>
        <w:rPr>
          <w:rFonts w:ascii="Verdana" w:hAnsi="Verdana"/>
          <w:szCs w:val="20"/>
        </w:rPr>
      </w:pPr>
      <w:r w:rsidRPr="0075432F">
        <w:rPr>
          <w:rFonts w:ascii="Verdana" w:hAnsi="Verdana"/>
        </w:rPr>
        <w:t>Pārstrādes ķīmiskās vie</w:t>
      </w:r>
      <w:r w:rsidR="00F936FB">
        <w:rPr>
          <w:rFonts w:ascii="Verdana" w:hAnsi="Verdana"/>
        </w:rPr>
        <w:t xml:space="preserve">las, pārstrādes palīgvielas un </w:t>
      </w:r>
      <w:r w:rsidRPr="0075432F">
        <w:rPr>
          <w:rFonts w:ascii="Verdana" w:hAnsi="Verdana"/>
        </w:rPr>
        <w:t xml:space="preserve">antioksidanti </w:t>
      </w:r>
    </w:p>
    <w:p w:rsidR="00DC7DEC" w:rsidRPr="0075432F" w:rsidRDefault="00DC7DEC" w:rsidP="00DC7DEC">
      <w:pPr>
        <w:numPr>
          <w:ilvl w:val="0"/>
          <w:numId w:val="41"/>
        </w:numPr>
        <w:spacing w:before="120"/>
        <w:rPr>
          <w:rFonts w:ascii="Verdana" w:hAnsi="Verdana"/>
          <w:szCs w:val="20"/>
        </w:rPr>
      </w:pPr>
      <w:r w:rsidRPr="0075432F">
        <w:rPr>
          <w:rFonts w:ascii="Verdana" w:hAnsi="Verdana"/>
        </w:rPr>
        <w:t>Mikotoksīni</w:t>
      </w:r>
    </w:p>
    <w:p w:rsidR="00DC7DEC" w:rsidRPr="0075432F" w:rsidRDefault="00DC7DEC" w:rsidP="00DC7DEC">
      <w:pPr>
        <w:numPr>
          <w:ilvl w:val="0"/>
          <w:numId w:val="41"/>
        </w:numPr>
        <w:spacing w:before="120"/>
        <w:rPr>
          <w:rFonts w:ascii="Verdana" w:hAnsi="Verdana"/>
          <w:szCs w:val="20"/>
        </w:rPr>
      </w:pPr>
      <w:r w:rsidRPr="0075432F">
        <w:rPr>
          <w:rFonts w:ascii="Verdana" w:hAnsi="Verdana"/>
        </w:rPr>
        <w:t>Smagie metāli</w:t>
      </w:r>
    </w:p>
    <w:p w:rsidR="00DC7DEC" w:rsidRPr="0075432F" w:rsidRDefault="00DC7DEC" w:rsidP="00DC7DEC">
      <w:pPr>
        <w:numPr>
          <w:ilvl w:val="0"/>
          <w:numId w:val="41"/>
        </w:numPr>
        <w:spacing w:before="120"/>
        <w:rPr>
          <w:rFonts w:ascii="Verdana" w:hAnsi="Verdana"/>
          <w:szCs w:val="20"/>
        </w:rPr>
      </w:pPr>
      <w:r w:rsidRPr="0075432F">
        <w:rPr>
          <w:rFonts w:ascii="Verdana" w:hAnsi="Verdana"/>
        </w:rPr>
        <w:t>Pesticīdu atliekas</w:t>
      </w:r>
    </w:p>
    <w:p w:rsidR="00DC7DEC" w:rsidRPr="0075432F" w:rsidRDefault="00DC7DEC" w:rsidP="00DC7DEC">
      <w:pPr>
        <w:numPr>
          <w:ilvl w:val="0"/>
          <w:numId w:val="41"/>
        </w:numPr>
        <w:spacing w:before="120"/>
        <w:rPr>
          <w:rFonts w:ascii="Verdana" w:hAnsi="Verdana"/>
          <w:szCs w:val="20"/>
        </w:rPr>
      </w:pPr>
      <w:r w:rsidRPr="0075432F">
        <w:rPr>
          <w:rFonts w:ascii="Verdana" w:hAnsi="Verdana"/>
        </w:rPr>
        <w:t>Polihlorbifenili (PHB), dioksīni</w:t>
      </w:r>
    </w:p>
    <w:p w:rsidR="00DC7DEC" w:rsidRPr="0075432F" w:rsidRDefault="00DC7DEC" w:rsidP="00DC7DEC">
      <w:pPr>
        <w:numPr>
          <w:ilvl w:val="0"/>
          <w:numId w:val="41"/>
        </w:numPr>
        <w:spacing w:before="120"/>
        <w:rPr>
          <w:rFonts w:ascii="Verdana" w:hAnsi="Verdana"/>
          <w:szCs w:val="20"/>
        </w:rPr>
      </w:pPr>
      <w:r w:rsidRPr="0075432F">
        <w:rPr>
          <w:rFonts w:ascii="Verdana" w:hAnsi="Verdana"/>
        </w:rPr>
        <w:t xml:space="preserve">Policikliskie aromātiskie ogļūdeņraži (PAO) </w:t>
      </w:r>
    </w:p>
    <w:p w:rsidR="00DC7DEC" w:rsidRPr="0075432F" w:rsidRDefault="00DC7DEC" w:rsidP="00DC7DEC">
      <w:pPr>
        <w:numPr>
          <w:ilvl w:val="0"/>
          <w:numId w:val="41"/>
        </w:numPr>
        <w:spacing w:before="120"/>
        <w:rPr>
          <w:rFonts w:ascii="Verdana" w:hAnsi="Verdana"/>
          <w:szCs w:val="20"/>
        </w:rPr>
      </w:pPr>
      <w:r w:rsidRPr="0075432F">
        <w:rPr>
          <w:rFonts w:ascii="Verdana" w:hAnsi="Verdana"/>
        </w:rPr>
        <w:t>Smērvielas (kas nepieder pie pārtikas kategorijas)</w:t>
      </w:r>
    </w:p>
    <w:p w:rsidR="00DC7DEC" w:rsidRPr="0075432F" w:rsidRDefault="00DC7DEC" w:rsidP="00DC7DEC">
      <w:pPr>
        <w:numPr>
          <w:ilvl w:val="0"/>
          <w:numId w:val="41"/>
        </w:numPr>
        <w:spacing w:before="120"/>
        <w:rPr>
          <w:rFonts w:ascii="Verdana" w:hAnsi="Verdana"/>
          <w:szCs w:val="20"/>
        </w:rPr>
      </w:pPr>
      <w:r w:rsidRPr="0075432F">
        <w:rPr>
          <w:rFonts w:ascii="Verdana" w:hAnsi="Verdana"/>
        </w:rPr>
        <w:lastRenderedPageBreak/>
        <w:t>Ķīmiskas vielas kaitēkļu apkarošanai</w:t>
      </w:r>
    </w:p>
    <w:p w:rsidR="00DC7DEC" w:rsidRPr="0075432F" w:rsidRDefault="00DC7DEC" w:rsidP="00DC7DEC">
      <w:pPr>
        <w:rPr>
          <w:rFonts w:ascii="Verdana" w:hAnsi="Verdana"/>
          <w:b/>
          <w:bCs/>
          <w:i/>
          <w:iCs/>
          <w:szCs w:val="20"/>
        </w:rPr>
      </w:pPr>
    </w:p>
    <w:p w:rsidR="00DC7DEC" w:rsidRPr="0075432F" w:rsidRDefault="00DC7DEC" w:rsidP="00DC7DEC">
      <w:pPr>
        <w:jc w:val="both"/>
        <w:rPr>
          <w:rFonts w:ascii="Verdana" w:hAnsi="Verdana"/>
          <w:bCs/>
          <w:iCs/>
          <w:szCs w:val="20"/>
        </w:rPr>
      </w:pPr>
      <w:r w:rsidRPr="0075432F">
        <w:rPr>
          <w:rFonts w:ascii="Verdana" w:hAnsi="Verdana"/>
        </w:rPr>
        <w:t>Pārstrādes palīglīdzekļu izmantošana tiek izskatīta apdraudējumu analīzē, ko veic operators saskaņā ar prasībām, kas definētas šīs rokasgrāmatas 6. iedaļā.</w:t>
      </w:r>
    </w:p>
    <w:p w:rsidR="00DC7DEC" w:rsidRPr="0075432F" w:rsidRDefault="00DC7DEC" w:rsidP="00DC7DEC">
      <w:pPr>
        <w:jc w:val="both"/>
        <w:rPr>
          <w:rFonts w:ascii="Verdana" w:hAnsi="Verdana"/>
          <w:bCs/>
          <w:iCs/>
          <w:szCs w:val="20"/>
        </w:rPr>
      </w:pPr>
    </w:p>
    <w:p w:rsidR="00DC7DEC" w:rsidRPr="0075432F" w:rsidRDefault="00DC7DEC" w:rsidP="00DC7DEC">
      <w:pPr>
        <w:jc w:val="both"/>
        <w:rPr>
          <w:rFonts w:ascii="Verdana" w:hAnsi="Verdana"/>
          <w:bCs/>
          <w:iCs/>
          <w:szCs w:val="20"/>
        </w:rPr>
      </w:pPr>
    </w:p>
    <w:p w:rsidR="00DC7DEC" w:rsidRPr="0075432F" w:rsidRDefault="00DC7DEC" w:rsidP="00DC7DEC">
      <w:pPr>
        <w:rPr>
          <w:rFonts w:ascii="Verdana" w:hAnsi="Verdana"/>
          <w:b/>
          <w:bCs/>
          <w:iCs/>
          <w:szCs w:val="20"/>
        </w:rPr>
      </w:pPr>
      <w:r w:rsidRPr="0075432F">
        <w:rPr>
          <w:rFonts w:ascii="Verdana" w:hAnsi="Verdana"/>
          <w:b/>
        </w:rPr>
        <w:t>Fiziska piesārņojuma apdraudējumi</w:t>
      </w:r>
    </w:p>
    <w:p w:rsidR="00DC7DEC" w:rsidRPr="0075432F" w:rsidRDefault="00DC7DEC" w:rsidP="00DC7DEC">
      <w:pPr>
        <w:numPr>
          <w:ilvl w:val="0"/>
          <w:numId w:val="42"/>
        </w:numPr>
        <w:spacing w:before="120"/>
        <w:rPr>
          <w:rFonts w:ascii="Verdana" w:hAnsi="Verdana"/>
          <w:szCs w:val="20"/>
        </w:rPr>
      </w:pPr>
      <w:r w:rsidRPr="0075432F">
        <w:rPr>
          <w:rFonts w:ascii="Verdana" w:hAnsi="Verdana"/>
        </w:rPr>
        <w:t>Fizisks piesārņojums, piem., ar metālu, stiklu</w:t>
      </w:r>
    </w:p>
    <w:p w:rsidR="00DC7DEC" w:rsidRPr="0075432F" w:rsidRDefault="00DC7DEC" w:rsidP="00DC7DEC">
      <w:pPr>
        <w:spacing w:before="120"/>
        <w:rPr>
          <w:rFonts w:ascii="Verdana" w:hAnsi="Verdana"/>
          <w:szCs w:val="20"/>
        </w:rPr>
      </w:pPr>
    </w:p>
    <w:p w:rsidR="00DC7DEC" w:rsidRPr="0075432F" w:rsidRDefault="00DC7DEC" w:rsidP="00DC7DEC">
      <w:pPr>
        <w:spacing w:before="120"/>
        <w:rPr>
          <w:rFonts w:ascii="Verdana" w:hAnsi="Verdana"/>
          <w:b/>
          <w:szCs w:val="20"/>
        </w:rPr>
      </w:pPr>
      <w:r w:rsidRPr="0075432F">
        <w:rPr>
          <w:rFonts w:ascii="Verdana" w:hAnsi="Verdana"/>
          <w:b/>
        </w:rPr>
        <w:t>Radioaktivitātes apdraudējums</w:t>
      </w:r>
    </w:p>
    <w:p w:rsidR="00DC7DEC" w:rsidRPr="0075432F" w:rsidRDefault="00DC7DEC" w:rsidP="00DC7DEC">
      <w:pPr>
        <w:numPr>
          <w:ilvl w:val="0"/>
          <w:numId w:val="43"/>
        </w:numPr>
        <w:spacing w:before="120"/>
        <w:rPr>
          <w:rFonts w:ascii="Verdana" w:hAnsi="Verdana"/>
          <w:szCs w:val="20"/>
        </w:rPr>
      </w:pPr>
      <w:r w:rsidRPr="0075432F">
        <w:rPr>
          <w:rFonts w:ascii="Verdana" w:hAnsi="Verdana"/>
        </w:rPr>
        <w:t>Radionuklīdi (pēc kodolavārijas)</w:t>
      </w:r>
    </w:p>
    <w:p w:rsidR="00DC7DEC" w:rsidRPr="0075432F" w:rsidRDefault="00DC7DEC" w:rsidP="00DC7DEC">
      <w:pPr>
        <w:rPr>
          <w:rFonts w:ascii="Verdana" w:hAnsi="Verdana"/>
          <w:szCs w:val="20"/>
        </w:rPr>
      </w:pPr>
    </w:p>
    <w:p w:rsidR="00DC7DEC" w:rsidRPr="0075432F" w:rsidRDefault="00DC7DEC" w:rsidP="00DC7DEC">
      <w:pPr>
        <w:pStyle w:val="Heading2"/>
        <w:rPr>
          <w:rFonts w:ascii="Verdana" w:hAnsi="Verdana" w:cs="Times New Roman"/>
        </w:rPr>
      </w:pPr>
      <w:bookmarkStart w:id="32" w:name="Ris_base_approach"/>
      <w:bookmarkStart w:id="33" w:name="_Toc354998620"/>
      <w:bookmarkStart w:id="34" w:name="_Toc435977951"/>
      <w:r w:rsidRPr="0075432F">
        <w:rPr>
          <w:rFonts w:ascii="Verdana" w:hAnsi="Verdana"/>
        </w:rPr>
        <w:t>Uz riska izvērtēšanu balstīta pieeja</w:t>
      </w:r>
      <w:bookmarkEnd w:id="32"/>
      <w:r w:rsidRPr="0075432F">
        <w:rPr>
          <w:rFonts w:ascii="Verdana" w:hAnsi="Verdana"/>
        </w:rPr>
        <w:t xml:space="preserve"> tādu apdraudējumu raksturošanai, kas attiecināmi uz biodīzeļdegvielas ražošanas procesā iegūtām barības sastāvdaļām</w:t>
      </w:r>
      <w:bookmarkEnd w:id="33"/>
      <w:bookmarkEnd w:id="34"/>
    </w:p>
    <w:p w:rsidR="00DC7DEC" w:rsidRPr="0075432F" w:rsidRDefault="00DC7DEC" w:rsidP="00DC7DEC">
      <w:pPr>
        <w:pStyle w:val="BodyTextIndent2"/>
        <w:tabs>
          <w:tab w:val="left" w:pos="0"/>
        </w:tabs>
        <w:spacing w:line="240" w:lineRule="auto"/>
        <w:ind w:left="0" w:right="360"/>
        <w:jc w:val="both"/>
        <w:rPr>
          <w:rFonts w:ascii="Verdana" w:hAnsi="Verdana"/>
          <w:szCs w:val="20"/>
          <w:u w:val="single"/>
        </w:rPr>
      </w:pPr>
    </w:p>
    <w:p w:rsidR="00DC7DEC" w:rsidRPr="0075432F" w:rsidRDefault="00DC7DEC" w:rsidP="00DC7DEC">
      <w:pPr>
        <w:pStyle w:val="BodyTextIndent2"/>
        <w:tabs>
          <w:tab w:val="left" w:pos="0"/>
          <w:tab w:val="left" w:pos="9200"/>
        </w:tabs>
        <w:spacing w:line="240" w:lineRule="auto"/>
        <w:ind w:left="0" w:right="13"/>
        <w:jc w:val="both"/>
        <w:rPr>
          <w:rFonts w:ascii="Verdana" w:hAnsi="Verdana"/>
          <w:szCs w:val="20"/>
        </w:rPr>
      </w:pPr>
      <w:r w:rsidRPr="0075432F">
        <w:rPr>
          <w:rFonts w:ascii="Verdana" w:hAnsi="Verdana"/>
        </w:rPr>
        <w:t xml:space="preserve">Turpmāk dotajās tabulās norādīts tādu apdraudējumu raksturojums, kas attiecināmi uz biodīzeļdegvielas ražošanas procesā iegūtiem produktiem, kurus pārdod kā barības sastāvdaļas. Lai labāk izprastu turpmāk dotajās riska novērtējuma tabulās sniegto informāciju, skatiet </w:t>
      </w:r>
      <w:r w:rsidRPr="0075432F">
        <w:rPr>
          <w:rFonts w:ascii="Verdana" w:hAnsi="Verdana"/>
          <w:i/>
        </w:rPr>
        <w:t>EFISC</w:t>
      </w:r>
      <w:r w:rsidRPr="0075432F">
        <w:rPr>
          <w:rFonts w:ascii="Verdana" w:hAnsi="Verdana"/>
        </w:rPr>
        <w:t xml:space="preserve"> pamatteksta 6. nodaļu par </w:t>
      </w:r>
      <w:r w:rsidRPr="0075432F">
        <w:rPr>
          <w:rFonts w:ascii="Verdana" w:hAnsi="Verdana"/>
          <w:i/>
        </w:rPr>
        <w:t>HACCP</w:t>
      </w:r>
      <w:r w:rsidRPr="0075432F">
        <w:rPr>
          <w:rFonts w:ascii="Verdana" w:hAnsi="Verdana"/>
        </w:rPr>
        <w:t xml:space="preserve"> sistēmu.</w:t>
      </w:r>
    </w:p>
    <w:p w:rsidR="00DC7DEC" w:rsidRPr="0075432F" w:rsidRDefault="00DC7DEC" w:rsidP="00DC7DEC">
      <w:pPr>
        <w:jc w:val="both"/>
        <w:rPr>
          <w:rFonts w:ascii="Verdana" w:hAnsi="Verdana"/>
          <w:szCs w:val="20"/>
        </w:rPr>
      </w:pPr>
      <w:r w:rsidRPr="0075432F">
        <w:rPr>
          <w:rFonts w:ascii="Verdana" w:hAnsi="Verdana"/>
        </w:rPr>
        <w:t xml:space="preserve">Šo risku uzskaitījumu nevar uzskatīt par izsmeļošu, un tas katram biodīzeļdegvielas ražotājam var būt citāds atkarībā no ražotāja veiktā pārstrādes procesa individuālajiem un īpašajiem apstākļiem. </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rPr>
        <w:t>Biodīzeļdegvielas ražotāji ir precizējuši riskus līdz pakāpei, kas atbilst to konkrētajiem darbības apstākļiem.</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p>
    <w:p w:rsidR="00DC7DEC" w:rsidRPr="0075432F" w:rsidRDefault="00DC7DEC" w:rsidP="00DC7DEC">
      <w:pPr>
        <w:spacing w:before="120"/>
        <w:jc w:val="both"/>
        <w:rPr>
          <w:rFonts w:ascii="Verdana" w:hAnsi="Verdana"/>
          <w:szCs w:val="20"/>
        </w:rPr>
      </w:pPr>
      <w:r w:rsidRPr="0075432F">
        <w:rPr>
          <w:rFonts w:ascii="Verdana" w:hAnsi="Verdana"/>
        </w:rPr>
        <w:t xml:space="preserve">Tika aplūkotas trīs apdraudējumu kategorijas: </w:t>
      </w:r>
    </w:p>
    <w:p w:rsidR="00DC7DEC" w:rsidRPr="0075432F" w:rsidRDefault="00DC7DEC" w:rsidP="00DC7DEC">
      <w:pPr>
        <w:pStyle w:val="ListParagraph"/>
        <w:numPr>
          <w:ilvl w:val="0"/>
          <w:numId w:val="44"/>
        </w:numPr>
        <w:spacing w:before="120"/>
        <w:jc w:val="both"/>
        <w:rPr>
          <w:rFonts w:ascii="Verdana" w:hAnsi="Verdana"/>
          <w:szCs w:val="20"/>
        </w:rPr>
      </w:pPr>
      <w:r w:rsidRPr="0075432F">
        <w:rPr>
          <w:rFonts w:ascii="Verdana" w:hAnsi="Verdana"/>
        </w:rPr>
        <w:t>bioloģiski apdraudējumi;</w:t>
      </w:r>
    </w:p>
    <w:p w:rsidR="00DC7DEC" w:rsidRPr="0075432F" w:rsidRDefault="00DC7DEC" w:rsidP="00DC7DEC">
      <w:pPr>
        <w:pStyle w:val="ListParagraph"/>
        <w:numPr>
          <w:ilvl w:val="0"/>
          <w:numId w:val="44"/>
        </w:numPr>
        <w:spacing w:before="120"/>
        <w:jc w:val="both"/>
        <w:rPr>
          <w:rFonts w:ascii="Verdana" w:hAnsi="Verdana"/>
          <w:szCs w:val="20"/>
        </w:rPr>
      </w:pPr>
      <w:r w:rsidRPr="0075432F">
        <w:rPr>
          <w:rFonts w:ascii="Verdana" w:hAnsi="Verdana"/>
        </w:rPr>
        <w:t xml:space="preserve">ķīmiski apdraudējumi; </w:t>
      </w:r>
    </w:p>
    <w:p w:rsidR="00DC7DEC" w:rsidRPr="0075432F" w:rsidRDefault="00DC7DEC" w:rsidP="00DC7DEC">
      <w:pPr>
        <w:pStyle w:val="ListParagraph"/>
        <w:numPr>
          <w:ilvl w:val="0"/>
          <w:numId w:val="44"/>
        </w:numPr>
        <w:spacing w:before="120"/>
        <w:jc w:val="both"/>
        <w:rPr>
          <w:rFonts w:ascii="Verdana" w:hAnsi="Verdana"/>
          <w:szCs w:val="20"/>
        </w:rPr>
      </w:pPr>
      <w:r w:rsidRPr="0075432F">
        <w:rPr>
          <w:rFonts w:ascii="Verdana" w:hAnsi="Verdana"/>
        </w:rPr>
        <w:t>fizikāli apdraudējumi.</w:t>
      </w:r>
    </w:p>
    <w:p w:rsidR="00DC7DEC" w:rsidRPr="0075432F" w:rsidRDefault="00DC7DEC" w:rsidP="00DC7DEC">
      <w:pPr>
        <w:rPr>
          <w:rFonts w:ascii="Verdana" w:hAnsi="Verdana"/>
          <w:b/>
        </w:rPr>
      </w:pPr>
      <w:r w:rsidRPr="0075432F">
        <w:rPr>
          <w:rFonts w:ascii="Verdana" w:hAnsi="Verdana"/>
        </w:rPr>
        <w:br w:type="page"/>
      </w:r>
    </w:p>
    <w:p w:rsidR="00DC7DEC" w:rsidRPr="0075432F" w:rsidRDefault="00DC7DEC" w:rsidP="00DC7DEC">
      <w:pPr>
        <w:pStyle w:val="Heading2"/>
        <w:rPr>
          <w:rFonts w:ascii="Verdana" w:hAnsi="Verdana" w:cs="Times New Roman"/>
        </w:rPr>
      </w:pPr>
      <w:bookmarkStart w:id="35" w:name="_Toc354998621"/>
      <w:bookmarkStart w:id="36" w:name="_Toc435977952"/>
      <w:r w:rsidRPr="0075432F">
        <w:rPr>
          <w:rFonts w:ascii="Verdana" w:hAnsi="Verdana"/>
        </w:rPr>
        <w:lastRenderedPageBreak/>
        <w:t>Riska novērtēšanas procedūra</w:t>
      </w:r>
      <w:bookmarkEnd w:id="35"/>
      <w:bookmarkEnd w:id="36"/>
    </w:p>
    <w:p w:rsidR="00DC7DEC" w:rsidRPr="0075432F" w:rsidRDefault="00DC7DEC" w:rsidP="00DC7DEC">
      <w:pPr>
        <w:pStyle w:val="Heading2"/>
        <w:numPr>
          <w:ilvl w:val="0"/>
          <w:numId w:val="0"/>
        </w:numPr>
        <w:rPr>
          <w:rFonts w:ascii="Verdana" w:hAnsi="Verdana" w:cs="Times New Roman"/>
        </w:rPr>
      </w:pPr>
      <w:bookmarkStart w:id="37" w:name="_Toc348535624"/>
      <w:bookmarkStart w:id="38" w:name="_Toc349810400"/>
    </w:p>
    <w:p w:rsidR="00DC7DEC" w:rsidRPr="0075432F" w:rsidRDefault="00DC7DEC" w:rsidP="00DC7DEC">
      <w:pPr>
        <w:ind w:left="567"/>
        <w:rPr>
          <w:rFonts w:ascii="Verdana" w:hAnsi="Verdana"/>
          <w:szCs w:val="20"/>
          <w:u w:val="single"/>
        </w:rPr>
      </w:pPr>
      <w:r w:rsidRPr="0075432F">
        <w:rPr>
          <w:rFonts w:ascii="Verdana" w:hAnsi="Verdana"/>
          <w:i/>
          <w:u w:val="single"/>
        </w:rPr>
        <w:t>EBB</w:t>
      </w:r>
      <w:r w:rsidRPr="0075432F">
        <w:rPr>
          <w:rFonts w:ascii="Verdana" w:hAnsi="Verdana"/>
          <w:u w:val="single"/>
        </w:rPr>
        <w:t xml:space="preserve"> izmantoja metodiku, kas aprakstīta rokasgrāmatas 6. nodaļā par </w:t>
      </w:r>
      <w:r w:rsidRPr="0075432F">
        <w:rPr>
          <w:rFonts w:ascii="Verdana" w:hAnsi="Verdana"/>
          <w:i/>
          <w:u w:val="single"/>
        </w:rPr>
        <w:t>HACCP</w:t>
      </w:r>
      <w:r w:rsidRPr="0075432F">
        <w:rPr>
          <w:rFonts w:ascii="Verdana" w:hAnsi="Verdana"/>
          <w:u w:val="single"/>
        </w:rPr>
        <w:t>.</w:t>
      </w:r>
    </w:p>
    <w:p w:rsidR="00DC7DEC" w:rsidRPr="0075432F" w:rsidRDefault="00DC7DEC" w:rsidP="00DC7DEC">
      <w:pPr>
        <w:rPr>
          <w:rFonts w:ascii="Verdana" w:hAnsi="Verdana"/>
        </w:rPr>
      </w:pPr>
    </w:p>
    <w:p w:rsidR="00DC7DEC" w:rsidRPr="0075432F" w:rsidRDefault="00DC7DEC" w:rsidP="00DC7DEC">
      <w:pPr>
        <w:pStyle w:val="Heading3"/>
        <w:jc w:val="both"/>
        <w:rPr>
          <w:rFonts w:ascii="Verdana" w:hAnsi="Verdana" w:cs="Times New Roman"/>
        </w:rPr>
      </w:pPr>
      <w:bookmarkStart w:id="39" w:name="_Toc350504669"/>
      <w:bookmarkStart w:id="40" w:name="_Toc354403041"/>
      <w:bookmarkStart w:id="41" w:name="_Toc354998622"/>
      <w:bookmarkStart w:id="42" w:name="_Toc435977953"/>
      <w:r w:rsidRPr="0075432F">
        <w:rPr>
          <w:rFonts w:ascii="Verdana" w:hAnsi="Verdana"/>
        </w:rPr>
        <w:t xml:space="preserve">Biodīzeļdegvielas ražošanas process: </w:t>
      </w:r>
      <w:r w:rsidRPr="0075432F">
        <w:rPr>
          <w:rFonts w:ascii="Verdana" w:hAnsi="Verdana"/>
          <w:i/>
        </w:rPr>
        <w:t>EBB</w:t>
      </w:r>
      <w:r w:rsidRPr="0075432F">
        <w:rPr>
          <w:rFonts w:ascii="Verdana" w:hAnsi="Verdana"/>
        </w:rPr>
        <w:t xml:space="preserve"> izveidoja darbību secības shēmu, kas aptver visus biodīzeļdegvielas ražošanas posmus no izejvielu transportēšanas un saņemšanas, uzglabāšanas, pārstrādes palīglīdzekļu izmantošanas, materiālu atdalīšanas pēc pāresterificēšanas, skalošanas </w:t>
      </w:r>
      <w:r w:rsidR="00EF469E">
        <w:rPr>
          <w:rFonts w:ascii="Verdana" w:hAnsi="Verdana"/>
        </w:rPr>
        <w:t>(kā rezultātā iegūst</w:t>
      </w:r>
      <w:r w:rsidRPr="0075432F">
        <w:rPr>
          <w:rFonts w:ascii="Verdana" w:hAnsi="Verdana"/>
        </w:rPr>
        <w:t xml:space="preserve"> galaprodukt</w:t>
      </w:r>
      <w:r w:rsidR="00EF469E">
        <w:rPr>
          <w:rFonts w:ascii="Verdana" w:hAnsi="Verdana"/>
        </w:rPr>
        <w:t>u — biodīzeļdegvielu</w:t>
      </w:r>
      <w:r w:rsidRPr="0075432F">
        <w:rPr>
          <w:rFonts w:ascii="Verdana" w:hAnsi="Verdana"/>
        </w:rPr>
        <w:t xml:space="preserve"> </w:t>
      </w:r>
      <w:r w:rsidR="00EF469E">
        <w:rPr>
          <w:rFonts w:ascii="Verdana" w:hAnsi="Verdana"/>
        </w:rPr>
        <w:t xml:space="preserve">un </w:t>
      </w:r>
      <w:r w:rsidRPr="0075432F">
        <w:rPr>
          <w:rFonts w:ascii="Verdana" w:hAnsi="Verdana"/>
        </w:rPr>
        <w:t>neattīrīt</w:t>
      </w:r>
      <w:r w:rsidR="00EF469E">
        <w:rPr>
          <w:rFonts w:ascii="Verdana" w:hAnsi="Verdana"/>
        </w:rPr>
        <w:t>u</w:t>
      </w:r>
      <w:r w:rsidRPr="0075432F">
        <w:rPr>
          <w:rFonts w:ascii="Verdana" w:hAnsi="Verdana"/>
        </w:rPr>
        <w:t xml:space="preserve"> glicerīn</w:t>
      </w:r>
      <w:r w:rsidR="00EF469E">
        <w:rPr>
          <w:rFonts w:ascii="Verdana" w:hAnsi="Verdana"/>
        </w:rPr>
        <w:t>u)</w:t>
      </w:r>
      <w:r w:rsidRPr="0075432F">
        <w:rPr>
          <w:rFonts w:ascii="Verdana" w:hAnsi="Verdana"/>
        </w:rPr>
        <w:t xml:space="preserve">, </w:t>
      </w:r>
      <w:r w:rsidR="00EF469E">
        <w:rPr>
          <w:rFonts w:ascii="Verdana" w:hAnsi="Verdana"/>
        </w:rPr>
        <w:t xml:space="preserve">un beidzot ar </w:t>
      </w:r>
      <w:r w:rsidRPr="0075432F">
        <w:rPr>
          <w:rFonts w:ascii="Verdana" w:hAnsi="Verdana"/>
        </w:rPr>
        <w:t>uzglabāšan</w:t>
      </w:r>
      <w:r w:rsidR="00EF469E">
        <w:rPr>
          <w:rFonts w:ascii="Verdana" w:hAnsi="Verdana"/>
        </w:rPr>
        <w:t>u</w:t>
      </w:r>
      <w:r w:rsidRPr="0075432F">
        <w:rPr>
          <w:rFonts w:ascii="Verdana" w:hAnsi="Verdana"/>
        </w:rPr>
        <w:t xml:space="preserve"> un transportēšan</w:t>
      </w:r>
      <w:r w:rsidR="00EF469E">
        <w:rPr>
          <w:rFonts w:ascii="Verdana" w:hAnsi="Verdana"/>
        </w:rPr>
        <w:t>u</w:t>
      </w:r>
      <w:r w:rsidRPr="0075432F">
        <w:rPr>
          <w:rFonts w:ascii="Verdana" w:hAnsi="Verdana"/>
        </w:rPr>
        <w:t>.</w:t>
      </w:r>
      <w:bookmarkEnd w:id="37"/>
      <w:bookmarkEnd w:id="38"/>
      <w:bookmarkEnd w:id="39"/>
      <w:bookmarkEnd w:id="40"/>
      <w:bookmarkEnd w:id="41"/>
      <w:bookmarkEnd w:id="42"/>
    </w:p>
    <w:p w:rsidR="00DC7DEC" w:rsidRPr="0075432F" w:rsidRDefault="00DC7DEC" w:rsidP="00DC7DEC">
      <w:pPr>
        <w:ind w:left="567"/>
        <w:jc w:val="both"/>
        <w:rPr>
          <w:rFonts w:ascii="Verdana" w:hAnsi="Verdana"/>
        </w:rPr>
      </w:pPr>
    </w:p>
    <w:p w:rsidR="00DC7DEC" w:rsidRPr="0075432F" w:rsidRDefault="00DC7DEC" w:rsidP="00DC7DEC">
      <w:pPr>
        <w:pStyle w:val="Heading3"/>
        <w:jc w:val="both"/>
        <w:rPr>
          <w:rFonts w:ascii="Verdana" w:hAnsi="Verdana" w:cs="Times New Roman"/>
        </w:rPr>
      </w:pPr>
      <w:bookmarkStart w:id="43" w:name="_Toc348535625"/>
      <w:bookmarkStart w:id="44" w:name="_Toc349810401"/>
      <w:bookmarkStart w:id="45" w:name="_Toc350504670"/>
      <w:bookmarkStart w:id="46" w:name="_Toc354403042"/>
      <w:bookmarkStart w:id="47" w:name="_Toc354998623"/>
      <w:bookmarkStart w:id="48" w:name="_Toc435977954"/>
      <w:r w:rsidRPr="0075432F">
        <w:rPr>
          <w:rFonts w:ascii="Verdana" w:hAnsi="Verdana"/>
        </w:rPr>
        <w:t>Saistībā ar pārstrādes posmiem parasti tika aprakstīti ar iekārtām saistītie apdraudējumi. Nekaitīguma apdraudējums ir bioloģiska (B), ķīmiska (Ķ) vai fiziska (F) sastāvdaļa produktā vai bioloģisks, ķīmisks vai fizisks šā produkta stāvoklis, kas to padara kaitīgu cilvēku vai dzīvnieku veselībai.</w:t>
      </w:r>
      <w:bookmarkEnd w:id="43"/>
      <w:bookmarkEnd w:id="44"/>
      <w:bookmarkEnd w:id="45"/>
      <w:bookmarkEnd w:id="46"/>
      <w:bookmarkEnd w:id="47"/>
      <w:bookmarkEnd w:id="48"/>
    </w:p>
    <w:p w:rsidR="00DC7DEC" w:rsidRPr="0075432F" w:rsidRDefault="00DC7DEC" w:rsidP="00DC7DEC">
      <w:pPr>
        <w:pStyle w:val="Heading3"/>
        <w:numPr>
          <w:ilvl w:val="0"/>
          <w:numId w:val="0"/>
        </w:numPr>
        <w:ind w:left="567"/>
        <w:jc w:val="both"/>
        <w:rPr>
          <w:rFonts w:ascii="Verdana" w:hAnsi="Verdana" w:cs="Times New Roman"/>
        </w:rPr>
      </w:pPr>
    </w:p>
    <w:p w:rsidR="00DC7DEC" w:rsidRPr="0075432F" w:rsidRDefault="00DC7DEC" w:rsidP="00DC7DEC">
      <w:pPr>
        <w:pStyle w:val="Heading3"/>
        <w:jc w:val="both"/>
        <w:rPr>
          <w:rFonts w:ascii="Verdana" w:hAnsi="Verdana" w:cs="Times New Roman"/>
        </w:rPr>
      </w:pPr>
      <w:bookmarkStart w:id="49" w:name="_Toc435977955"/>
      <w:bookmarkStart w:id="50" w:name="_Toc348535626"/>
      <w:bookmarkStart w:id="51" w:name="_Toc349810402"/>
      <w:bookmarkStart w:id="52" w:name="_Toc350504671"/>
      <w:bookmarkStart w:id="53" w:name="_Toc354403043"/>
      <w:bookmarkStart w:id="54" w:name="_Toc354998624"/>
      <w:r w:rsidRPr="0075432F">
        <w:rPr>
          <w:rFonts w:ascii="Verdana" w:hAnsi="Verdana"/>
        </w:rPr>
        <w:t xml:space="preserve">Attiecībā uz ķēdes elementiem, kas ir tieši saistīti ar </w:t>
      </w:r>
      <w:r w:rsidRPr="0075432F">
        <w:rPr>
          <w:rFonts w:ascii="Verdana" w:hAnsi="Verdana"/>
          <w:i/>
        </w:rPr>
        <w:t>EBB</w:t>
      </w:r>
      <w:r w:rsidRPr="0075432F">
        <w:rPr>
          <w:rFonts w:ascii="Verdana" w:hAnsi="Verdana"/>
        </w:rPr>
        <w:t xml:space="preserve"> dalībnieku profesionālo darbību ražošanas procesa ietvaros, tika veikts uz riska izvērtēšanu balstīts novērtējums par katru apdraudējumu.</w:t>
      </w:r>
      <w:bookmarkEnd w:id="49"/>
    </w:p>
    <w:p w:rsidR="00DC7DEC" w:rsidRPr="0075432F" w:rsidRDefault="00DC7DEC" w:rsidP="00DC7DEC">
      <w:pPr>
        <w:rPr>
          <w:rFonts w:ascii="Verdana" w:hAnsi="Verdana"/>
        </w:rPr>
      </w:pPr>
    </w:p>
    <w:p w:rsidR="00DC7DEC" w:rsidRPr="0075432F" w:rsidRDefault="00DC7DEC" w:rsidP="00DC7DEC">
      <w:pPr>
        <w:pStyle w:val="Heading3"/>
        <w:jc w:val="both"/>
        <w:rPr>
          <w:rFonts w:ascii="Verdana" w:hAnsi="Verdana" w:cs="Times New Roman"/>
          <w:szCs w:val="20"/>
        </w:rPr>
      </w:pPr>
      <w:bookmarkStart w:id="55" w:name="_Toc435977956"/>
      <w:r w:rsidRPr="0075432F">
        <w:rPr>
          <w:rFonts w:ascii="Verdana" w:hAnsi="Verdana"/>
        </w:rPr>
        <w:t>Kā iepriekš minēts, šo risku uzskaitījumu nevar uzskatīt par izsmeļošu, un tas katram biodīzeļdegvielas ražotājam var būt citāds atkarībā no ražotāja veiktā pārstrādes procesa individuālajiem un īpašajiem apstākļiem.</w:t>
      </w:r>
      <w:bookmarkEnd w:id="55"/>
    </w:p>
    <w:p w:rsidR="00DC7DEC" w:rsidRPr="0075432F" w:rsidRDefault="00DC7DEC" w:rsidP="00DC7DEC">
      <w:pPr>
        <w:pStyle w:val="Heading3"/>
        <w:numPr>
          <w:ilvl w:val="0"/>
          <w:numId w:val="0"/>
        </w:numPr>
        <w:ind w:left="1440" w:hanging="720"/>
        <w:jc w:val="both"/>
        <w:rPr>
          <w:rFonts w:ascii="Verdana" w:hAnsi="Verdana" w:cs="Times New Roman"/>
          <w:szCs w:val="20"/>
        </w:rPr>
      </w:pPr>
    </w:p>
    <w:p w:rsidR="00DC7DEC" w:rsidRPr="0075432F" w:rsidRDefault="000D5083" w:rsidP="00DC7DEC">
      <w:pPr>
        <w:pStyle w:val="Heading3"/>
        <w:numPr>
          <w:ilvl w:val="0"/>
          <w:numId w:val="0"/>
        </w:numPr>
        <w:ind w:left="1440" w:hanging="24"/>
        <w:jc w:val="both"/>
        <w:rPr>
          <w:rFonts w:ascii="Verdana" w:hAnsi="Verdana" w:cs="Times New Roman"/>
          <w:szCs w:val="20"/>
        </w:rPr>
      </w:pPr>
      <w:bookmarkStart w:id="56" w:name="_Toc435977957"/>
      <w:r w:rsidRPr="0075432F">
        <w:rPr>
          <w:rFonts w:ascii="Verdana" w:hAnsi="Verdana"/>
        </w:rPr>
        <w:t>Turklāt šajās tabulās nav uzskaitītas darbības priekšnosacījumu programmas (DPRP) un kritiskie kontroles punkti (KKP), jo lēmumam, kas ļauj izveidot šādu DPRP vai KKP, ir jāatbilst reālajai situācijai katrā ražotnē vai pārstrādes līnijā</w:t>
      </w:r>
      <w:r w:rsidR="00DC7DEC" w:rsidRPr="0075432F">
        <w:rPr>
          <w:rFonts w:ascii="Verdana" w:hAnsi="Verdana"/>
        </w:rPr>
        <w:t>.</w:t>
      </w:r>
      <w:bookmarkEnd w:id="56"/>
    </w:p>
    <w:p w:rsidR="00DC7DEC" w:rsidRPr="0075432F" w:rsidRDefault="00DC7DEC" w:rsidP="00DC7DEC">
      <w:pPr>
        <w:rPr>
          <w:rFonts w:ascii="Verdana" w:hAnsi="Verdana"/>
        </w:rPr>
      </w:pPr>
    </w:p>
    <w:bookmarkEnd w:id="50"/>
    <w:bookmarkEnd w:id="51"/>
    <w:bookmarkEnd w:id="52"/>
    <w:bookmarkEnd w:id="53"/>
    <w:bookmarkEnd w:id="54"/>
    <w:p w:rsidR="00DC7DEC" w:rsidRPr="0075432F" w:rsidRDefault="00DC7DEC" w:rsidP="00DC7DEC">
      <w:pPr>
        <w:autoSpaceDE w:val="0"/>
        <w:autoSpaceDN w:val="0"/>
        <w:adjustRightInd w:val="0"/>
        <w:ind w:left="2844"/>
        <w:jc w:val="both"/>
        <w:rPr>
          <w:rFonts w:ascii="Verdana" w:hAnsi="Verdana"/>
          <w:color w:val="000000"/>
          <w:szCs w:val="20"/>
        </w:rPr>
      </w:pPr>
    </w:p>
    <w:p w:rsidR="00DC7DEC" w:rsidRPr="0075432F" w:rsidRDefault="00DC7DEC" w:rsidP="00DC7DEC">
      <w:pPr>
        <w:pStyle w:val="Heading3"/>
        <w:numPr>
          <w:ilvl w:val="0"/>
          <w:numId w:val="0"/>
        </w:numPr>
        <w:ind w:left="1440"/>
        <w:rPr>
          <w:rFonts w:ascii="Verdana" w:hAnsi="Verdana" w:cs="Times New Roman"/>
          <w:szCs w:val="20"/>
        </w:rPr>
      </w:pPr>
    </w:p>
    <w:p w:rsidR="00DC7DEC" w:rsidRPr="0075432F" w:rsidRDefault="00DC7DEC" w:rsidP="00DC7DEC">
      <w:pPr>
        <w:pStyle w:val="Heading3"/>
        <w:rPr>
          <w:rFonts w:ascii="Verdana" w:hAnsi="Verdana" w:cs="Times New Roman"/>
        </w:rPr>
      </w:pPr>
      <w:bookmarkStart w:id="57" w:name="_Toc349810404"/>
      <w:bookmarkStart w:id="58" w:name="_Toc350504673"/>
      <w:bookmarkStart w:id="59" w:name="_Toc354403045"/>
      <w:bookmarkStart w:id="60" w:name="_Toc354998626"/>
      <w:bookmarkStart w:id="61" w:name="_Toc435977958"/>
      <w:r w:rsidRPr="0075432F">
        <w:rPr>
          <w:rFonts w:ascii="Verdana" w:hAnsi="Verdana"/>
          <w:i/>
        </w:rPr>
        <w:t>EBB</w:t>
      </w:r>
      <w:r w:rsidRPr="0075432F">
        <w:rPr>
          <w:rFonts w:ascii="Verdana" w:hAnsi="Verdana"/>
        </w:rPr>
        <w:t xml:space="preserve"> pamatoja riska novērtējumu.</w:t>
      </w:r>
      <w:bookmarkEnd w:id="57"/>
      <w:bookmarkEnd w:id="58"/>
      <w:bookmarkEnd w:id="59"/>
      <w:bookmarkEnd w:id="60"/>
      <w:bookmarkEnd w:id="61"/>
    </w:p>
    <w:p w:rsidR="00DC7DEC" w:rsidRPr="0075432F" w:rsidRDefault="00DC7DEC" w:rsidP="00DC7DEC">
      <w:pPr>
        <w:rPr>
          <w:rFonts w:ascii="Verdana" w:hAnsi="Verdana"/>
        </w:rPr>
      </w:pPr>
    </w:p>
    <w:p w:rsidR="00DC7DEC" w:rsidRPr="0075432F" w:rsidRDefault="00DC7DEC" w:rsidP="00DC7DEC">
      <w:pPr>
        <w:pStyle w:val="Heading3"/>
        <w:rPr>
          <w:rFonts w:ascii="Verdana" w:hAnsi="Verdana" w:cs="Times New Roman"/>
        </w:rPr>
      </w:pPr>
      <w:bookmarkStart w:id="62" w:name="_Toc350504674"/>
      <w:bookmarkStart w:id="63" w:name="_Toc354403046"/>
      <w:bookmarkStart w:id="64" w:name="_Toc354998627"/>
      <w:bookmarkStart w:id="65" w:name="_Toc435977959"/>
      <w:bookmarkStart w:id="66" w:name="_Toc349810405"/>
      <w:r w:rsidRPr="0075432F">
        <w:rPr>
          <w:rFonts w:ascii="Verdana" w:hAnsi="Verdana"/>
          <w:i/>
        </w:rPr>
        <w:t>EBB</w:t>
      </w:r>
      <w:r w:rsidRPr="0075432F">
        <w:rPr>
          <w:rFonts w:ascii="Verdana" w:hAnsi="Verdana"/>
        </w:rPr>
        <w:t xml:space="preserve"> pārbaudīja, vai ES tiesību aktos vai </w:t>
      </w:r>
      <w:r w:rsidR="00BE2204">
        <w:rPr>
          <w:rFonts w:ascii="Verdana" w:hAnsi="Verdana"/>
        </w:rPr>
        <w:t xml:space="preserve">nozares </w:t>
      </w:r>
      <w:r w:rsidRPr="0075432F">
        <w:rPr>
          <w:rFonts w:ascii="Verdana" w:hAnsi="Verdana"/>
        </w:rPr>
        <w:t xml:space="preserve">standartos ir </w:t>
      </w:r>
      <w:r w:rsidR="00BE2204">
        <w:rPr>
          <w:rFonts w:ascii="Verdana" w:hAnsi="Verdana"/>
        </w:rPr>
        <w:t xml:space="preserve">noteiktas </w:t>
      </w:r>
      <w:r w:rsidR="00BE2204" w:rsidRPr="0075432F">
        <w:rPr>
          <w:rFonts w:ascii="Verdana" w:hAnsi="Verdana"/>
        </w:rPr>
        <w:t>attiecīgā apdraudējuma robežvērtības</w:t>
      </w:r>
      <w:r w:rsidRPr="0075432F">
        <w:rPr>
          <w:rFonts w:ascii="Verdana" w:hAnsi="Verdana"/>
        </w:rPr>
        <w:t>, un tad, ja tādas bija, uzskaitīja tās.</w:t>
      </w:r>
      <w:bookmarkEnd w:id="62"/>
      <w:bookmarkEnd w:id="63"/>
      <w:bookmarkEnd w:id="64"/>
      <w:bookmarkEnd w:id="65"/>
    </w:p>
    <w:bookmarkEnd w:id="66"/>
    <w:p w:rsidR="00DC7DEC" w:rsidRPr="0075432F" w:rsidRDefault="00DC7DEC" w:rsidP="00DC7DEC">
      <w:pPr>
        <w:rPr>
          <w:rFonts w:ascii="Verdana" w:hAnsi="Verdana"/>
          <w:b/>
        </w:rPr>
      </w:pPr>
    </w:p>
    <w:p w:rsidR="00DC7DEC" w:rsidRPr="0075432F" w:rsidRDefault="00DC7DEC" w:rsidP="00DC7DEC">
      <w:pPr>
        <w:rPr>
          <w:rFonts w:ascii="Verdana" w:hAnsi="Verdana"/>
          <w:b/>
        </w:rPr>
      </w:pPr>
    </w:p>
    <w:p w:rsidR="00DC7DEC" w:rsidRPr="0075432F" w:rsidRDefault="00DC7DEC" w:rsidP="00DC7DEC">
      <w:pPr>
        <w:rPr>
          <w:rFonts w:ascii="Verdana" w:hAnsi="Verdana"/>
        </w:rPr>
      </w:pPr>
    </w:p>
    <w:p w:rsidR="00DC7DEC" w:rsidRPr="0075432F" w:rsidRDefault="00DC7DEC" w:rsidP="00DC7DEC">
      <w:pPr>
        <w:rPr>
          <w:rFonts w:ascii="Verdana" w:hAnsi="Verdana"/>
        </w:rPr>
        <w:sectPr w:rsidR="00DC7DEC" w:rsidRPr="0075432F" w:rsidSect="00861F33">
          <w:headerReference w:type="default" r:id="rId18"/>
          <w:footerReference w:type="even" r:id="rId19"/>
          <w:footerReference w:type="default" r:id="rId20"/>
          <w:pgSz w:w="12240" w:h="15840"/>
          <w:pgMar w:top="1361" w:right="1701" w:bottom="1361" w:left="1701" w:header="720" w:footer="720" w:gutter="0"/>
          <w:cols w:space="720"/>
          <w:titlePg/>
          <w:docGrid w:linePitch="360"/>
        </w:sectPr>
      </w:pPr>
    </w:p>
    <w:p w:rsidR="00DC7DEC" w:rsidRPr="0075432F" w:rsidRDefault="00DC7DEC" w:rsidP="00DC7DEC">
      <w:pPr>
        <w:rPr>
          <w:rFonts w:ascii="Verdana" w:hAnsi="Verdana"/>
        </w:rPr>
      </w:pPr>
    </w:p>
    <w:p w:rsidR="00DC7DEC" w:rsidRPr="0075432F" w:rsidRDefault="00DC7DEC" w:rsidP="00DC7DEC">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54"/>
        <w:gridCol w:w="948"/>
        <w:gridCol w:w="1418"/>
        <w:gridCol w:w="850"/>
        <w:gridCol w:w="2268"/>
        <w:gridCol w:w="2127"/>
        <w:gridCol w:w="2693"/>
        <w:gridCol w:w="1843"/>
      </w:tblGrid>
      <w:tr w:rsidR="00DC7DEC" w:rsidRPr="0075432F" w:rsidTr="00861F33">
        <w:trPr>
          <w:trHeight w:val="429"/>
        </w:trPr>
        <w:tc>
          <w:tcPr>
            <w:tcW w:w="4928" w:type="dxa"/>
            <w:gridSpan w:val="4"/>
            <w:tcBorders>
              <w:bottom w:val="single" w:sz="4" w:space="0" w:color="auto"/>
            </w:tcBorders>
            <w:shd w:val="clear" w:color="auto" w:fill="0DA72A"/>
            <w:tcMar>
              <w:top w:w="57" w:type="dxa"/>
              <w:bottom w:w="57" w:type="dxa"/>
            </w:tcMar>
            <w:vAlign w:val="center"/>
          </w:tcPr>
          <w:p w:rsidR="00DC7DEC" w:rsidRPr="0075432F" w:rsidRDefault="00DC7DEC" w:rsidP="00861F33">
            <w:pPr>
              <w:pStyle w:val="Heading1"/>
              <w:numPr>
                <w:ilvl w:val="0"/>
                <w:numId w:val="0"/>
              </w:numPr>
              <w:rPr>
                <w:rFonts w:ascii="Verdana" w:hAnsi="Verdana"/>
                <w:color w:val="FFFFFF" w:themeColor="background1"/>
                <w:sz w:val="32"/>
              </w:rPr>
            </w:pPr>
            <w:bookmarkStart w:id="67" w:name="_Toc354998629"/>
            <w:bookmarkStart w:id="68" w:name="_Toc435977960"/>
            <w:r w:rsidRPr="0075432F">
              <w:rPr>
                <w:rFonts w:ascii="Verdana" w:hAnsi="Verdana"/>
                <w:color w:val="FFFFFF" w:themeColor="background1"/>
                <w:sz w:val="32"/>
              </w:rPr>
              <w:t>8. Uz riska izvērtēšanu balstīta pieeja attiecībā uz glicerīnu</w:t>
            </w:r>
            <w:bookmarkEnd w:id="67"/>
            <w:bookmarkEnd w:id="68"/>
          </w:p>
          <w:p w:rsidR="00DC7DEC" w:rsidRPr="0075432F" w:rsidRDefault="00DC7DEC" w:rsidP="00861F33">
            <w:pPr>
              <w:widowControl w:val="0"/>
              <w:spacing w:before="20" w:after="20"/>
              <w:jc w:val="right"/>
              <w:rPr>
                <w:rFonts w:ascii="Verdana" w:hAnsi="Verdan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DC7DEC" w:rsidRPr="0075432F" w:rsidRDefault="00DC7DEC" w:rsidP="00861F33">
            <w:pPr>
              <w:pStyle w:val="ListParagraph"/>
              <w:widowControl w:val="0"/>
              <w:numPr>
                <w:ilvl w:val="0"/>
                <w:numId w:val="38"/>
              </w:numPr>
              <w:rPr>
                <w:rFonts w:ascii="Verdana" w:hAnsi="Verdana"/>
                <w:b/>
                <w:color w:val="FFFFFF"/>
                <w:sz w:val="28"/>
                <w:szCs w:val="28"/>
              </w:rPr>
            </w:pPr>
            <w:r w:rsidRPr="0075432F">
              <w:rPr>
                <w:rFonts w:ascii="Verdana" w:hAnsi="Verdana"/>
                <w:b/>
                <w:color w:val="FFFFFF"/>
                <w:sz w:val="28"/>
              </w:rPr>
              <w:t>Vispārējais risks: biodīzeļdegvielas pārstrāde</w:t>
            </w:r>
          </w:p>
        </w:tc>
      </w:tr>
      <w:tr w:rsidR="00DC7DEC" w:rsidRPr="0075432F" w:rsidTr="00861F33">
        <w:trPr>
          <w:trHeight w:val="536"/>
        </w:trPr>
        <w:tc>
          <w:tcPr>
            <w:tcW w:w="190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54"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94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IESPĒJA</w:t>
            </w:r>
            <w:r w:rsidR="00373A06" w:rsidRPr="0075432F">
              <w:rPr>
                <w:rFonts w:ascii="Verdana" w:hAnsi="Verdana"/>
                <w:b/>
                <w:color w:val="FFFFFF"/>
                <w:sz w:val="14"/>
              </w:rPr>
              <w:softHyphen/>
            </w:r>
            <w:r w:rsidRPr="0075432F">
              <w:rPr>
                <w:rFonts w:ascii="Verdana" w:hAnsi="Verdana"/>
                <w:b/>
                <w:color w:val="FFFFFF"/>
                <w:sz w:val="14"/>
              </w:rPr>
              <w:t xml:space="preserve">MĪBA </w:t>
            </w:r>
          </w:p>
        </w:tc>
        <w:tc>
          <w:tcPr>
            <w:tcW w:w="141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NOPIETNĪBA </w:t>
            </w:r>
          </w:p>
        </w:tc>
        <w:tc>
          <w:tcPr>
            <w:tcW w:w="85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RISKA KLASE </w:t>
            </w:r>
          </w:p>
        </w:tc>
        <w:tc>
          <w:tcPr>
            <w:tcW w:w="226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212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TIESĪBU AKTI, NOZARES STANDARTI</w:t>
            </w:r>
            <w:r w:rsidR="000D3DB5" w:rsidRPr="0075432F">
              <w:rPr>
                <w:rFonts w:ascii="Verdana" w:hAnsi="Verdana"/>
                <w:b/>
                <w:color w:val="FFFFFF"/>
                <w:sz w:val="14"/>
              </w:rPr>
              <w:t xml:space="preserve"> </w:t>
            </w:r>
          </w:p>
        </w:tc>
        <w:tc>
          <w:tcPr>
            <w:tcW w:w="2693"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r w:rsidR="000D3DB5" w:rsidRPr="0075432F">
              <w:rPr>
                <w:rFonts w:ascii="Verdana" w:hAnsi="Verdana"/>
                <w:b/>
                <w:color w:val="FFFFFF"/>
                <w:sz w:val="14"/>
              </w:rPr>
              <w:t xml:space="preserve"> </w:t>
            </w:r>
          </w:p>
        </w:tc>
        <w:tc>
          <w:tcPr>
            <w:tcW w:w="1843"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751"/>
        </w:trPr>
        <w:tc>
          <w:tcPr>
            <w:tcW w:w="190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Ūdens kvalitāte</w:t>
            </w:r>
          </w:p>
        </w:tc>
        <w:tc>
          <w:tcPr>
            <w:tcW w:w="654"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Ķ/B/F</w:t>
            </w:r>
          </w:p>
        </w:tc>
        <w:tc>
          <w:tcPr>
            <w:tcW w:w="948"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Ūdeni izmanto biodīzeļdegvielas ražošanas procesā.</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Regulā (EK) Nr. 183/2005</w:t>
            </w:r>
            <w:r w:rsidR="00A30C1C">
              <w:rPr>
                <w:rFonts w:ascii="Verdana" w:hAnsi="Verdana"/>
                <w:sz w:val="16"/>
              </w:rPr>
              <w:t xml:space="preserve"> </w:t>
            </w:r>
            <w:r w:rsidRPr="0075432F">
              <w:rPr>
                <w:rFonts w:ascii="Verdana" w:hAnsi="Verdana"/>
                <w:sz w:val="16"/>
              </w:rPr>
              <w:t xml:space="preserve"> ir minēts, ka barības ražošanā jāizmanto pienācīgas kvalitātes ūdens.</w:t>
            </w:r>
          </w:p>
        </w:tc>
        <w:tc>
          <w:tcPr>
            <w:tcW w:w="2693" w:type="dxa"/>
            <w:tcBorders>
              <w:top w:val="single" w:sz="4" w:space="0" w:color="auto"/>
              <w:bottom w:val="single" w:sz="4" w:space="0" w:color="auto"/>
            </w:tcBorders>
            <w:tcMar>
              <w:top w:w="85" w:type="dxa"/>
              <w:bottom w:w="85" w:type="dxa"/>
            </w:tcMar>
          </w:tcPr>
          <w:p w:rsidR="00DC7DEC" w:rsidRPr="0075432F" w:rsidRDefault="00F82802" w:rsidP="00861F33">
            <w:pPr>
              <w:widowControl w:val="0"/>
              <w:rPr>
                <w:rFonts w:ascii="Verdana" w:hAnsi="Verdana"/>
                <w:iCs/>
                <w:sz w:val="16"/>
                <w:szCs w:val="16"/>
              </w:rPr>
            </w:pPr>
            <w:r>
              <w:rPr>
                <w:rFonts w:ascii="Verdana" w:hAnsi="Verdana"/>
                <w:sz w:val="16"/>
              </w:rPr>
              <w:t>Izmantot piemērotas kvalitātes</w:t>
            </w:r>
            <w:r w:rsidR="00DC7DEC" w:rsidRPr="0075432F">
              <w:rPr>
                <w:rFonts w:ascii="Verdana" w:hAnsi="Verdana"/>
                <w:sz w:val="16"/>
              </w:rPr>
              <w:t xml:space="preserve"> dzeram</w:t>
            </w:r>
            <w:r>
              <w:rPr>
                <w:rFonts w:ascii="Verdana" w:hAnsi="Verdana"/>
                <w:sz w:val="16"/>
              </w:rPr>
              <w:t>o</w:t>
            </w:r>
            <w:r w:rsidR="00DC7DEC" w:rsidRPr="0075432F">
              <w:rPr>
                <w:rFonts w:ascii="Verdana" w:hAnsi="Verdana"/>
                <w:sz w:val="16"/>
              </w:rPr>
              <w:t xml:space="preserve"> ūden</w:t>
            </w:r>
            <w:r>
              <w:rPr>
                <w:rFonts w:ascii="Verdana" w:hAnsi="Verdana"/>
                <w:sz w:val="16"/>
              </w:rPr>
              <w:t>i</w:t>
            </w:r>
            <w:r w:rsidR="00DC7DEC" w:rsidRPr="0075432F">
              <w:rPr>
                <w:rFonts w:ascii="Verdana" w:hAnsi="Verdana"/>
                <w:sz w:val="16"/>
              </w:rPr>
              <w:t>.</w:t>
            </w:r>
          </w:p>
          <w:p w:rsidR="00DC7DEC" w:rsidRPr="0075432F" w:rsidRDefault="00DC7DEC" w:rsidP="00861F33">
            <w:pPr>
              <w:widowControl w:val="0"/>
              <w:rPr>
                <w:rFonts w:ascii="Verdana" w:hAnsi="Verdana"/>
                <w:iCs/>
                <w:sz w:val="16"/>
                <w:szCs w:val="16"/>
              </w:rPr>
            </w:pPr>
          </w:p>
          <w:p w:rsidR="00DC7DEC" w:rsidRPr="0075432F" w:rsidRDefault="00DC7DEC" w:rsidP="00861F33">
            <w:pPr>
              <w:widowControl w:val="0"/>
              <w:rPr>
                <w:rFonts w:ascii="Verdana" w:hAnsi="Verdana"/>
                <w:iCs/>
                <w:sz w:val="16"/>
                <w:szCs w:val="16"/>
              </w:rPr>
            </w:pPr>
            <w:r w:rsidRPr="0075432F">
              <w:rPr>
                <w:rFonts w:ascii="Verdana" w:hAnsi="Verdana"/>
                <w:sz w:val="16"/>
              </w:rPr>
              <w:t>Paredzēt speciālas ūdensapgādes sistēmas.</w:t>
            </w: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133"/>
        </w:trPr>
        <w:tc>
          <w:tcPr>
            <w:tcW w:w="190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p>
          <w:p w:rsidR="00DC7DEC" w:rsidRPr="0075432F" w:rsidRDefault="00DC7DEC" w:rsidP="00861F33">
            <w:pPr>
              <w:widowControl w:val="0"/>
              <w:rPr>
                <w:rFonts w:ascii="Verdana" w:hAnsi="Verdana"/>
                <w:b/>
                <w:bCs/>
                <w:sz w:val="16"/>
                <w:szCs w:val="16"/>
              </w:rPr>
            </w:pPr>
            <w:r w:rsidRPr="0075432F">
              <w:rPr>
                <w:rFonts w:ascii="Verdana" w:hAnsi="Verdana"/>
                <w:b/>
                <w:sz w:val="16"/>
              </w:rPr>
              <w:t xml:space="preserve">Tīrīšanas līdzekļi </w:t>
            </w:r>
          </w:p>
        </w:tc>
        <w:tc>
          <w:tcPr>
            <w:tcW w:w="654"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4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850"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p w:rsidR="00DC7DEC" w:rsidRPr="0075432F" w:rsidRDefault="00DC7DEC" w:rsidP="00861F33">
            <w:pPr>
              <w:widowControl w:val="0"/>
              <w:rPr>
                <w:rFonts w:ascii="Verdana" w:hAnsi="Verdana"/>
                <w:sz w:val="16"/>
                <w:szCs w:val="16"/>
              </w:rPr>
            </w:pPr>
            <w:r w:rsidRPr="0075432F">
              <w:rPr>
                <w:rFonts w:ascii="Verdana" w:hAnsi="Verdana"/>
                <w:sz w:val="16"/>
              </w:rPr>
              <w:t>Tīrīšanas līdzekļi nonāk saskarē ar produktu.</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69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p w:rsidR="00DC7DEC" w:rsidRPr="0075432F" w:rsidRDefault="00DC7DEC" w:rsidP="00861F33">
            <w:pPr>
              <w:widowControl w:val="0"/>
              <w:rPr>
                <w:rFonts w:ascii="Verdana" w:hAnsi="Verdana"/>
                <w:sz w:val="16"/>
                <w:szCs w:val="16"/>
              </w:rPr>
            </w:pPr>
            <w:r w:rsidRPr="0075432F">
              <w:rPr>
                <w:rFonts w:ascii="Verdana" w:hAnsi="Verdana"/>
                <w:sz w:val="16"/>
              </w:rPr>
              <w:t xml:space="preserve">Ražošanas sistēmā izmantotie tīrīšanas līdzekļi ir jāaizskalo. Jānovērtē izmantotie tīrīšanas līdzekļi un jāīsteno piemēroti pasākumi, lai samazinātu risku līdz pieņemamam līmenim. </w:t>
            </w: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p w:rsidR="00DC7DEC" w:rsidRPr="0075432F" w:rsidRDefault="00DC7DEC" w:rsidP="00861F33">
            <w:pPr>
              <w:widowControl w:val="0"/>
              <w:rPr>
                <w:rFonts w:ascii="Verdana" w:hAnsi="Verdana"/>
                <w:sz w:val="16"/>
                <w:szCs w:val="16"/>
              </w:rPr>
            </w:pPr>
            <w:r w:rsidRPr="0075432F">
              <w:rPr>
                <w:rFonts w:ascii="Verdana" w:hAnsi="Verdana"/>
                <w:sz w:val="16"/>
              </w:rPr>
              <w:t>Nav bieži sastopams risks, jo vairumā ražošanas iekārtu izmanto nepārtrauktu procesu.</w:t>
            </w:r>
          </w:p>
        </w:tc>
      </w:tr>
      <w:tr w:rsidR="00DC7DEC" w:rsidRPr="0075432F" w:rsidTr="00861F33">
        <w:trPr>
          <w:trHeight w:val="479"/>
        </w:trPr>
        <w:tc>
          <w:tcPr>
            <w:tcW w:w="190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Ielidojoši putni</w:t>
            </w:r>
          </w:p>
        </w:tc>
        <w:tc>
          <w:tcPr>
            <w:tcW w:w="654"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B</w:t>
            </w:r>
          </w:p>
        </w:tc>
        <w:tc>
          <w:tcPr>
            <w:tcW w:w="94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850"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69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Šo apdraudējumu var novērst, ja ēka ir slēgta.</w:t>
            </w:r>
          </w:p>
        </w:tc>
      </w:tr>
      <w:tr w:rsidR="00DC7DEC" w:rsidRPr="0075432F" w:rsidTr="00861F33">
        <w:trPr>
          <w:trHeight w:val="816"/>
        </w:trPr>
        <w:tc>
          <w:tcPr>
            <w:tcW w:w="1908"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Toksīni no kaitēkļu apkarošanas materiāliem</w:t>
            </w:r>
          </w:p>
          <w:p w:rsidR="00DC7DEC" w:rsidRPr="0075432F" w:rsidRDefault="00DC7DEC" w:rsidP="00861F33">
            <w:pPr>
              <w:widowControl w:val="0"/>
              <w:rPr>
                <w:rFonts w:ascii="Verdana" w:hAnsi="Verdana"/>
                <w:b/>
                <w:bCs/>
                <w:sz w:val="16"/>
                <w:szCs w:val="16"/>
              </w:rPr>
            </w:pPr>
          </w:p>
        </w:tc>
        <w:tc>
          <w:tcPr>
            <w:tcW w:w="654"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p w:rsidR="00DC7DEC" w:rsidRPr="0075432F" w:rsidRDefault="00DC7DEC" w:rsidP="00861F33">
            <w:pPr>
              <w:widowControl w:val="0"/>
              <w:rPr>
                <w:rFonts w:ascii="Verdana" w:hAnsi="Verdana"/>
                <w:sz w:val="16"/>
                <w:szCs w:val="16"/>
              </w:rPr>
            </w:pPr>
          </w:p>
        </w:tc>
        <w:tc>
          <w:tcPr>
            <w:tcW w:w="948"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Ļoti maza</w:t>
            </w:r>
          </w:p>
          <w:p w:rsidR="00DC7DEC" w:rsidRPr="0075432F" w:rsidRDefault="00DC7DEC" w:rsidP="00861F33">
            <w:pPr>
              <w:widowControl w:val="0"/>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p w:rsidR="00DC7DEC" w:rsidRPr="0075432F" w:rsidRDefault="00DC7DEC" w:rsidP="00861F33">
            <w:pPr>
              <w:widowControl w:val="0"/>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B57AB7">
            <w:pPr>
              <w:widowControl w:val="0"/>
              <w:jc w:val="center"/>
              <w:rPr>
                <w:rFonts w:ascii="Verdana" w:hAnsi="Verdana"/>
                <w:sz w:val="16"/>
                <w:szCs w:val="16"/>
              </w:rPr>
            </w:pPr>
            <w:r w:rsidRPr="0075432F">
              <w:rPr>
                <w:rFonts w:ascii="Verdana" w:hAnsi="Verdana"/>
                <w:sz w:val="16"/>
              </w:rPr>
              <w:t>2.</w:t>
            </w: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Saindēta ēsma no atvērtām kastēm var radīt savstarpēju piesārņojumu.</w:t>
            </w:r>
          </w:p>
        </w:tc>
        <w:tc>
          <w:tcPr>
            <w:tcW w:w="2127"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rPr>
                <w:rFonts w:ascii="Verdana" w:hAnsi="Verdana"/>
                <w:i/>
                <w:iCs/>
                <w:color w:val="0000FF"/>
                <w:sz w:val="16"/>
                <w:szCs w:val="16"/>
              </w:rPr>
            </w:pPr>
          </w:p>
        </w:tc>
        <w:tc>
          <w:tcPr>
            <w:tcW w:w="2693"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Jāīsteno kaitēkļu apkarošanas materiālu kontroles programma. Jāīsteno piemēroti pasākumi riska samazināšanai. </w:t>
            </w:r>
          </w:p>
        </w:tc>
        <w:tc>
          <w:tcPr>
            <w:tcW w:w="1843" w:type="dxa"/>
            <w:tcBorders>
              <w:top w:val="single" w:sz="4" w:space="0" w:color="auto"/>
              <w:left w:val="single" w:sz="4" w:space="0" w:color="auto"/>
              <w:bottom w:val="single" w:sz="4" w:space="0" w:color="auto"/>
              <w:right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p w:rsidR="00DC7DEC" w:rsidRPr="0075432F" w:rsidRDefault="00DC7DEC" w:rsidP="00861F33">
            <w:pPr>
              <w:widowControl w:val="0"/>
              <w:rPr>
                <w:rFonts w:ascii="Verdana" w:hAnsi="Verdana"/>
                <w:sz w:val="16"/>
                <w:szCs w:val="16"/>
              </w:rPr>
            </w:pPr>
          </w:p>
        </w:tc>
      </w:tr>
      <w:tr w:rsidR="00DC7DEC" w:rsidRPr="0075432F" w:rsidTr="00861F33">
        <w:trPr>
          <w:trHeight w:val="751"/>
        </w:trPr>
        <w:tc>
          <w:tcPr>
            <w:tcW w:w="190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Smērvielas</w:t>
            </w:r>
          </w:p>
          <w:p w:rsidR="00DC7DEC" w:rsidRPr="0075432F" w:rsidRDefault="00DC7DEC" w:rsidP="00861F33">
            <w:pPr>
              <w:widowControl w:val="0"/>
              <w:rPr>
                <w:rFonts w:ascii="Verdana" w:hAnsi="Verdana"/>
                <w:b/>
                <w:bCs/>
                <w:sz w:val="16"/>
                <w:szCs w:val="16"/>
              </w:rPr>
            </w:pPr>
          </w:p>
        </w:tc>
        <w:tc>
          <w:tcPr>
            <w:tcW w:w="654"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4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 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Pirms smērvielas lietošanas būtu jānovērtē, vai tās lietošana ir nepieciešama, un ir jāīsteno piemēroti pasākumi, lai samazinātu risku līdz pieņemamam līmenim.</w:t>
            </w:r>
          </w:p>
        </w:tc>
        <w:tc>
          <w:tcPr>
            <w:tcW w:w="1843"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Iepirkuma specifikācijas. Risks ir zems, jo eļļas pirms to lietošanas tiek pārbaudītas.</w:t>
            </w:r>
          </w:p>
        </w:tc>
      </w:tr>
      <w:tr w:rsidR="00DC7DEC" w:rsidRPr="0075432F" w:rsidTr="00861F33">
        <w:trPr>
          <w:trHeight w:val="751"/>
        </w:trPr>
        <w:tc>
          <w:tcPr>
            <w:tcW w:w="190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lastRenderedPageBreak/>
              <w:t>Kaitēkļi un grauzēji</w:t>
            </w:r>
          </w:p>
        </w:tc>
        <w:tc>
          <w:tcPr>
            <w:tcW w:w="654"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B</w:t>
            </w:r>
          </w:p>
        </w:tc>
        <w:tc>
          <w:tcPr>
            <w:tcW w:w="94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141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850"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Ēku aizsardzība, tīrīšanas programmas un kaitēkļu apkarošanas sistēma priekšnosacījumu programmas ietvaros</w:t>
            </w:r>
          </w:p>
        </w:tc>
        <w:tc>
          <w:tcPr>
            <w:tcW w:w="1843"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751"/>
        </w:trPr>
        <w:tc>
          <w:tcPr>
            <w:tcW w:w="190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Savstarpējs piesārņojums, ko rada iepriekš apstrādāts produkts</w:t>
            </w:r>
          </w:p>
        </w:tc>
        <w:tc>
          <w:tcPr>
            <w:tcW w:w="654"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Ķ/B/F</w:t>
            </w:r>
          </w:p>
        </w:tc>
        <w:tc>
          <w:tcPr>
            <w:tcW w:w="94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Savstarpēja piesārņojuma iespējamība ir maza, ja operators ir pierādījis, ka īstenotās skalošanas un tīrīšanas procedūras ir iedarbīgas. </w:t>
            </w:r>
          </w:p>
        </w:tc>
        <w:tc>
          <w:tcPr>
            <w:tcW w:w="2127"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Stingri jāievēro </w:t>
            </w:r>
            <w:r w:rsidRPr="0075432F">
              <w:rPr>
                <w:rFonts w:ascii="Verdana" w:hAnsi="Verdana"/>
                <w:i/>
                <w:sz w:val="16"/>
              </w:rPr>
              <w:t>HACCP</w:t>
            </w:r>
            <w:r w:rsidRPr="0075432F">
              <w:rPr>
                <w:rFonts w:ascii="Verdana" w:hAnsi="Verdana"/>
                <w:sz w:val="16"/>
              </w:rPr>
              <w:t xml:space="preserve"> plānā izklāstītais protokols, kas i) nosaka pietiekamu apstrādes laiku jaunām eļļām un ii) ko ir revidējusi trešā persona.</w:t>
            </w:r>
          </w:p>
        </w:tc>
        <w:tc>
          <w:tcPr>
            <w:tcW w:w="1843"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Rūpnīca, kurā izmanto dažādas ražošanas izejvielas un kurā vēlas izmantot svaigas eļļas pēc tam, kad tajā kādu laiku ir pārstrādāti 1. vai 2. kategorijas dzīvnieku tauki vai atstrādātas ēdināšanā izmantotas cepšanas eļļas</w:t>
            </w:r>
          </w:p>
        </w:tc>
      </w:tr>
    </w:tbl>
    <w:p w:rsidR="00DC7DEC" w:rsidRPr="0075432F" w:rsidRDefault="00DC7DEC" w:rsidP="00DC7DEC">
      <w:pPr>
        <w:rPr>
          <w:rFonts w:ascii="Verdana" w:hAnsi="Verdana"/>
        </w:rPr>
      </w:pPr>
    </w:p>
    <w:p w:rsidR="00DC7DEC" w:rsidRPr="0075432F" w:rsidRDefault="00DC7DEC" w:rsidP="00DC7DEC">
      <w:pPr>
        <w:rPr>
          <w:rFonts w:ascii="Verdana" w:hAnsi="Verdana"/>
        </w:rPr>
      </w:pPr>
    </w:p>
    <w:p w:rsidR="00DC7DEC" w:rsidRPr="0075432F" w:rsidRDefault="00DC7DEC" w:rsidP="00DC7DEC">
      <w:pPr>
        <w:rPr>
          <w:rFonts w:ascii="Verdana" w:hAnsi="Verdana"/>
        </w:rPr>
      </w:pPr>
    </w:p>
    <w:p w:rsidR="00DC7DEC" w:rsidRPr="0075432F" w:rsidRDefault="00DC7DEC" w:rsidP="00DC7DEC">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46"/>
        <w:gridCol w:w="979"/>
        <w:gridCol w:w="1418"/>
        <w:gridCol w:w="850"/>
        <w:gridCol w:w="2268"/>
        <w:gridCol w:w="1985"/>
        <w:gridCol w:w="2551"/>
        <w:gridCol w:w="2127"/>
      </w:tblGrid>
      <w:tr w:rsidR="00DC7DEC" w:rsidRPr="0075432F" w:rsidTr="00861F33">
        <w:trPr>
          <w:trHeight w:val="145"/>
        </w:trPr>
        <w:tc>
          <w:tcPr>
            <w:tcW w:w="4928" w:type="dxa"/>
            <w:gridSpan w:val="4"/>
            <w:tcBorders>
              <w:bottom w:val="single" w:sz="4" w:space="0" w:color="auto"/>
            </w:tcBorders>
            <w:shd w:val="clear" w:color="auto" w:fill="0DA72A"/>
            <w:tcMar>
              <w:top w:w="57" w:type="dxa"/>
              <w:bottom w:w="57" w:type="dxa"/>
            </w:tcMar>
            <w:vAlign w:val="center"/>
          </w:tcPr>
          <w:p w:rsidR="00DC7DEC" w:rsidRPr="0075432F" w:rsidRDefault="00DC7DEC" w:rsidP="00861F33">
            <w:pPr>
              <w:widowControl w:val="0"/>
              <w:spacing w:before="20" w:after="20"/>
              <w:ind w:left="85" w:right="85"/>
              <w:rPr>
                <w:rFonts w:ascii="Verdana" w:hAnsi="Verdana"/>
                <w:b/>
                <w:color w:val="FFFFFF"/>
                <w:sz w:val="32"/>
                <w:szCs w:val="32"/>
              </w:rPr>
            </w:pPr>
            <w:r w:rsidRPr="0075432F">
              <w:rPr>
                <w:rFonts w:ascii="Verdana" w:hAnsi="Verdana"/>
                <w:b/>
                <w:color w:val="FFFFFF"/>
                <w:sz w:val="32"/>
              </w:rPr>
              <w:t>8. Uz riska izvērtēšanu balstīta pieeja attiecībā uz glicerīnu</w:t>
            </w:r>
          </w:p>
          <w:p w:rsidR="00DC7DEC" w:rsidRPr="0075432F" w:rsidRDefault="00DC7DEC" w:rsidP="00861F33">
            <w:pPr>
              <w:widowControl w:val="0"/>
              <w:spacing w:before="20" w:after="20"/>
              <w:jc w:val="right"/>
              <w:rPr>
                <w:rFonts w:ascii="Verdana" w:hAnsi="Verdan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DC7DEC" w:rsidRPr="0075432F" w:rsidRDefault="00DC7DEC" w:rsidP="00861F33">
            <w:pPr>
              <w:widowControl w:val="0"/>
              <w:rPr>
                <w:rFonts w:ascii="Verdana" w:hAnsi="Verdana"/>
                <w:b/>
                <w:color w:val="FFFFFF"/>
                <w:sz w:val="28"/>
                <w:szCs w:val="28"/>
              </w:rPr>
            </w:pPr>
            <w:r w:rsidRPr="0075432F">
              <w:rPr>
                <w:rFonts w:ascii="Verdana" w:hAnsi="Verdana"/>
                <w:b/>
                <w:color w:val="FFFFFF"/>
                <w:sz w:val="28"/>
              </w:rPr>
              <w:t>2. Ražošanas izejvielas — augu eļļas — saņemšana</w:t>
            </w:r>
          </w:p>
        </w:tc>
      </w:tr>
      <w:tr w:rsidR="00DC7DEC" w:rsidRPr="0075432F" w:rsidTr="00861F33">
        <w:trPr>
          <w:trHeight w:val="145"/>
        </w:trPr>
        <w:tc>
          <w:tcPr>
            <w:tcW w:w="1885"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46"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979"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IESPĒJA</w:t>
            </w:r>
            <w:r w:rsidR="00373A06" w:rsidRPr="0075432F">
              <w:rPr>
                <w:rFonts w:ascii="Verdana" w:hAnsi="Verdana"/>
                <w:b/>
                <w:color w:val="FFFFFF"/>
                <w:sz w:val="14"/>
              </w:rPr>
              <w:softHyphen/>
            </w:r>
            <w:r w:rsidRPr="0075432F">
              <w:rPr>
                <w:rFonts w:ascii="Verdana" w:hAnsi="Verdana"/>
                <w:b/>
                <w:color w:val="FFFFFF"/>
                <w:sz w:val="14"/>
              </w:rPr>
              <w:t xml:space="preserve">MĪBA </w:t>
            </w:r>
          </w:p>
        </w:tc>
        <w:tc>
          <w:tcPr>
            <w:tcW w:w="141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NOPIETNĪBA </w:t>
            </w:r>
          </w:p>
        </w:tc>
        <w:tc>
          <w:tcPr>
            <w:tcW w:w="85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RISKA KLASE </w:t>
            </w:r>
          </w:p>
        </w:tc>
        <w:tc>
          <w:tcPr>
            <w:tcW w:w="226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1985"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TIESĪBU AKTI, NOZARES STANDARTI </w:t>
            </w:r>
          </w:p>
        </w:tc>
        <w:tc>
          <w:tcPr>
            <w:tcW w:w="2551"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r w:rsidR="000D3DB5" w:rsidRPr="0075432F">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145"/>
        </w:trPr>
        <w:tc>
          <w:tcPr>
            <w:tcW w:w="1885" w:type="dxa"/>
            <w:tcBorders>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Iepriekšējās kravas radīts piesārņojums, kas rodas, transportējot izejvielu ar kravas automašīnu vai baržu, vai okeāna kuģi</w:t>
            </w:r>
          </w:p>
        </w:tc>
        <w:tc>
          <w:tcPr>
            <w:tcW w:w="646"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9"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bottom w:val="single" w:sz="4" w:space="0" w:color="auto"/>
            </w:tcBorders>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Augu eļļas parasti transportē ar speciāliem transportlīdzekļiem.</w:t>
            </w:r>
          </w:p>
          <w:p w:rsidR="00DC7DEC" w:rsidRPr="0075432F" w:rsidRDefault="00DC7DEC" w:rsidP="00861F33">
            <w:pPr>
              <w:widowControl w:val="0"/>
              <w:rPr>
                <w:rFonts w:ascii="Verdana" w:hAnsi="Verdana"/>
                <w:sz w:val="16"/>
                <w:szCs w:val="16"/>
              </w:rPr>
            </w:pPr>
          </w:p>
        </w:tc>
        <w:tc>
          <w:tcPr>
            <w:tcW w:w="1985" w:type="dxa"/>
            <w:tcBorders>
              <w:bottom w:val="single" w:sz="4" w:space="0" w:color="auto"/>
            </w:tcBorders>
            <w:tcMar>
              <w:top w:w="85" w:type="dxa"/>
              <w:bottom w:w="85" w:type="dxa"/>
            </w:tcMar>
          </w:tcPr>
          <w:p w:rsidR="00DC7DEC" w:rsidRPr="0075432F" w:rsidRDefault="00DC7DEC" w:rsidP="00861F33">
            <w:pPr>
              <w:rPr>
                <w:rFonts w:ascii="Verdana" w:hAnsi="Verdana"/>
                <w:sz w:val="16"/>
                <w:szCs w:val="16"/>
              </w:rPr>
            </w:pPr>
          </w:p>
        </w:tc>
        <w:tc>
          <w:tcPr>
            <w:tcW w:w="2551"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Jānovērtē risks un jāveic piemēroti pasākumi, lai samazinātu risku līdz pieņemamam līmenim. Jāizmanto speciāls transports, jākontrolē trīs iepriekšējās kravas.</w:t>
            </w:r>
          </w:p>
        </w:tc>
        <w:tc>
          <w:tcPr>
            <w:tcW w:w="2127"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Vizuālas pārbaudes</w:t>
            </w:r>
          </w:p>
        </w:tc>
      </w:tr>
      <w:tr w:rsidR="00DC7DEC" w:rsidRPr="0075432F" w:rsidTr="00861F33">
        <w:trPr>
          <w:trHeight w:val="145"/>
        </w:trPr>
        <w:tc>
          <w:tcPr>
            <w:tcW w:w="1885" w:type="dxa"/>
            <w:tcBorders>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lastRenderedPageBreak/>
              <w:t xml:space="preserve">Piejaukumi </w:t>
            </w:r>
          </w:p>
        </w:tc>
        <w:tc>
          <w:tcPr>
            <w:tcW w:w="646"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F</w:t>
            </w:r>
          </w:p>
        </w:tc>
        <w:tc>
          <w:tcPr>
            <w:tcW w:w="979"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Maza </w:t>
            </w:r>
          </w:p>
        </w:tc>
        <w:tc>
          <w:tcPr>
            <w:tcW w:w="1418"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Maza </w:t>
            </w:r>
          </w:p>
        </w:tc>
        <w:tc>
          <w:tcPr>
            <w:tcW w:w="850"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1. </w:t>
            </w:r>
          </w:p>
        </w:tc>
        <w:tc>
          <w:tcPr>
            <w:tcW w:w="2268"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Produktā var būt piejaukumi.</w:t>
            </w:r>
          </w:p>
        </w:tc>
        <w:tc>
          <w:tcPr>
            <w:tcW w:w="1985"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551"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Speciālas ēkas un aprites ķēžu filtri; darbinieku higiēna; kārtība, kas jāievēro stikla saplīšanas gadījumā; laba uzturēšanas prakse</w:t>
            </w:r>
          </w:p>
        </w:tc>
        <w:tc>
          <w:tcPr>
            <w:tcW w:w="2127"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45"/>
        </w:trPr>
        <w:tc>
          <w:tcPr>
            <w:tcW w:w="18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Piesārņojums ar nevēlamām vielām</w:t>
            </w:r>
          </w:p>
          <w:p w:rsidR="00DC7DEC" w:rsidRPr="0075432F" w:rsidRDefault="00DC7DEC" w:rsidP="00861F33">
            <w:pPr>
              <w:widowControl w:val="0"/>
              <w:rPr>
                <w:rFonts w:ascii="Verdana" w:hAnsi="Verdana"/>
                <w:b/>
                <w:bCs/>
                <w:sz w:val="16"/>
                <w:szCs w:val="16"/>
              </w:rPr>
            </w:pP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9" w:type="dxa"/>
            <w:tcBorders>
              <w:top w:val="single" w:sz="4" w:space="0" w:color="auto"/>
              <w:bottom w:val="single" w:sz="4" w:space="0" w:color="auto"/>
            </w:tcBorders>
            <w:tcMar>
              <w:top w:w="85" w:type="dxa"/>
              <w:bottom w:w="85" w:type="dxa"/>
            </w:tcMar>
          </w:tcPr>
          <w:p w:rsidR="00DC7DEC" w:rsidRPr="0075432F" w:rsidRDefault="000D3DB5" w:rsidP="00861F33">
            <w:pPr>
              <w:widowControl w:val="0"/>
              <w:rPr>
                <w:rFonts w:ascii="Verdana" w:hAnsi="Verdana"/>
                <w:sz w:val="16"/>
                <w:szCs w:val="16"/>
              </w:rPr>
            </w:pPr>
            <w:r w:rsidRPr="0075432F">
              <w:rPr>
                <w:rFonts w:ascii="Verdana" w:hAnsi="Verdana"/>
                <w:sz w:val="16"/>
              </w:rPr>
              <w:t xml:space="preserve"> </w:t>
            </w:r>
            <w:r w:rsidR="00DC7DEC"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Turpmāk uzskaitītie piesārņotāji parasti koncentrējas nevis glicerīnā, bet gan taukskābju metilesterī (</w:t>
            </w:r>
            <w:r w:rsidRPr="0075432F">
              <w:rPr>
                <w:rFonts w:ascii="Verdana" w:hAnsi="Verdana"/>
                <w:i/>
                <w:sz w:val="16"/>
              </w:rPr>
              <w:t>FAME</w:t>
            </w:r>
            <w:r w:rsidRPr="0075432F">
              <w:rPr>
                <w:rFonts w:ascii="Verdana" w:hAnsi="Verdana"/>
                <w:sz w:val="16"/>
              </w:rPr>
              <w:t>).</w:t>
            </w: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ES Direktīva 2002/32/EK par nevēlamām vielām barības sastāvdaļās</w:t>
            </w:r>
          </w:p>
          <w:p w:rsidR="00DC7DEC" w:rsidRPr="0075432F" w:rsidRDefault="00DC7DEC" w:rsidP="00861F33">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Pārraudzības plāns</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IESPĒJAMĪBA, ka radīsies piesārņojums ar nevēlamu vielu, parasti ir MAZA; ja ražotājs iepērk zemākas kvalitātes izejvielas, risks palielinās līdz vidējam līmenim.</w:t>
            </w:r>
          </w:p>
        </w:tc>
      </w:tr>
      <w:tr w:rsidR="00DC7DEC" w:rsidRPr="0075432F" w:rsidTr="00861F33">
        <w:trPr>
          <w:trHeight w:val="145"/>
        </w:trPr>
        <w:tc>
          <w:tcPr>
            <w:tcW w:w="18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 Dioksīni un dioksīniem līdzīgie PHB</w:t>
            </w: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9"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Ļoti 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Direktīva 2002/32/EK un Regula (ES) Nr. 225/2012</w:t>
            </w: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Pārraudzības plāns</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Regulā (ES) Nr. 225/2012 par dioksīniem norādīts, ka dažiem ienākošajiem produktiem ir jāveic dioksīna pārraudzība 100 % apmērā.</w:t>
            </w:r>
          </w:p>
        </w:tc>
      </w:tr>
      <w:tr w:rsidR="00DC7DEC" w:rsidRPr="0075432F" w:rsidTr="00861F33">
        <w:trPr>
          <w:trHeight w:val="145"/>
        </w:trPr>
        <w:tc>
          <w:tcPr>
            <w:tcW w:w="18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 Niķelis</w:t>
            </w: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9"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Regula (ES) Nr. 68/2013, ar ko izveido barības sastāvdaļu reģistru</w:t>
            </w: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Pārraudzības plāns</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Vairumā gadījumu biodīzeļdegvielas ražošanas procesā niķeli neizmanto.</w:t>
            </w:r>
          </w:p>
        </w:tc>
      </w:tr>
      <w:tr w:rsidR="00DC7DEC" w:rsidRPr="0075432F" w:rsidTr="00861F33">
        <w:trPr>
          <w:trHeight w:val="145"/>
        </w:trPr>
        <w:tc>
          <w:tcPr>
            <w:tcW w:w="18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 PHB, kas nav līdzīgi dioksīniem</w:t>
            </w: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9"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Ļoti 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Direktīva 2002/32/EK par nevēlamām vielām barības sastāvdaļās</w:t>
            </w: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Pārraudzības plāns</w:t>
            </w:r>
          </w:p>
          <w:p w:rsidR="00DC7DEC" w:rsidRPr="0075432F" w:rsidRDefault="00DC7DEC" w:rsidP="00861F33">
            <w:pPr>
              <w:widowControl w:val="0"/>
              <w:rPr>
                <w:rFonts w:ascii="Verdana" w:hAnsi="Verdana"/>
                <w:sz w:val="16"/>
                <w:szCs w:val="16"/>
              </w:rPr>
            </w:pP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45"/>
        </w:trPr>
        <w:tc>
          <w:tcPr>
            <w:tcW w:w="18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 PAO</w:t>
            </w:r>
          </w:p>
          <w:p w:rsidR="00DC7DEC" w:rsidRPr="0075432F" w:rsidRDefault="00DC7DEC" w:rsidP="00861F33">
            <w:pPr>
              <w:widowControl w:val="0"/>
              <w:rPr>
                <w:rFonts w:ascii="Verdana" w:hAnsi="Verdana"/>
                <w:b/>
                <w:bCs/>
                <w:sz w:val="16"/>
                <w:szCs w:val="16"/>
              </w:rPr>
            </w:pP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9"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Pārraudzības plāns</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45"/>
        </w:trPr>
        <w:tc>
          <w:tcPr>
            <w:tcW w:w="18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lastRenderedPageBreak/>
              <w:t xml:space="preserve">Pesticīdu atliekas virs </w:t>
            </w:r>
            <w:r w:rsidR="00820A21" w:rsidRPr="00820A21">
              <w:rPr>
                <w:rFonts w:ascii="Verdana" w:hAnsi="Verdana"/>
                <w:b/>
                <w:sz w:val="16"/>
              </w:rPr>
              <w:t>maksimāl</w:t>
            </w:r>
            <w:r w:rsidR="00820A21">
              <w:rPr>
                <w:rFonts w:ascii="Verdana" w:hAnsi="Verdana"/>
                <w:b/>
                <w:sz w:val="16"/>
              </w:rPr>
              <w:t>ā atlieku līmeņa</w:t>
            </w:r>
            <w:r w:rsidR="00820A21" w:rsidRPr="00820A21">
              <w:rPr>
                <w:rFonts w:ascii="Verdana" w:hAnsi="Verdana"/>
                <w:b/>
                <w:sz w:val="16"/>
              </w:rPr>
              <w:t xml:space="preserve"> </w:t>
            </w:r>
            <w:r w:rsidR="00820A21">
              <w:rPr>
                <w:rFonts w:ascii="Verdana" w:hAnsi="Verdana"/>
                <w:b/>
                <w:sz w:val="16"/>
              </w:rPr>
              <w:t>(MAL</w:t>
            </w:r>
            <w:r w:rsidRPr="0075432F">
              <w:rPr>
                <w:rFonts w:ascii="Verdana" w:hAnsi="Verdana"/>
                <w:b/>
                <w:sz w:val="16"/>
              </w:rPr>
              <w:t xml:space="preserve">), t. i., herbicīdu, insekticīdu, fungicīdu vai rodenticīdu atliekas virs </w:t>
            </w:r>
            <w:r w:rsidR="00820A21">
              <w:rPr>
                <w:rFonts w:ascii="Verdana" w:hAnsi="Verdana"/>
                <w:b/>
                <w:sz w:val="16"/>
              </w:rPr>
              <w:t>MAL</w:t>
            </w:r>
          </w:p>
          <w:p w:rsidR="00DC7DEC" w:rsidRPr="0075432F" w:rsidRDefault="00DC7DEC" w:rsidP="00861F33">
            <w:pPr>
              <w:widowControl w:val="0"/>
              <w:rPr>
                <w:rFonts w:ascii="Verdana" w:hAnsi="Verdana"/>
                <w:b/>
                <w:bCs/>
                <w:sz w:val="16"/>
                <w:szCs w:val="16"/>
              </w:rPr>
            </w:pP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9"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850"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Regulāri pārraugot pesticīdu atliekas neattīrītā eļļā, ir konstatēts, ka atlieku līmenis nepārsniedz tiesību aktos noteiktās robežvērtības. </w:t>
            </w: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Regulā (EK) Nr. 396/2005 ir noteikti pesticīdu atlieku līmeņi. Šajā regulā ir noteikts, ka drīkst piemērot pārejas faktoru attiecībā uz atļautiem pesticīdiem pārstrādātos produktos, ja vien tiek nodrošināts pārtikas nekaitīgums. </w:t>
            </w: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Pārraudzības plāns</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Vairums pesticīdu nešķīst ūdenī un netiks pārnesti uz glicerīna ūdens frakciju.</w:t>
            </w:r>
          </w:p>
        </w:tc>
      </w:tr>
      <w:tr w:rsidR="00DC7DEC" w:rsidRPr="0075432F" w:rsidTr="00861F33">
        <w:trPr>
          <w:trHeight w:val="145"/>
        </w:trPr>
        <w:tc>
          <w:tcPr>
            <w:tcW w:w="1885" w:type="dxa"/>
            <w:tcBorders>
              <w:top w:val="single" w:sz="4" w:space="0" w:color="auto"/>
              <w:bottom w:val="single" w:sz="4" w:space="0" w:color="auto"/>
            </w:tcBorders>
            <w:tcMar>
              <w:top w:w="85" w:type="dxa"/>
              <w:bottom w:w="85" w:type="dxa"/>
            </w:tcMar>
          </w:tcPr>
          <w:p w:rsidR="00DC7DEC" w:rsidRPr="0075432F" w:rsidRDefault="00DC7DEC" w:rsidP="00B57AB7">
            <w:pPr>
              <w:widowControl w:val="0"/>
              <w:rPr>
                <w:rFonts w:ascii="Verdana" w:hAnsi="Verdana"/>
                <w:i/>
                <w:iCs/>
                <w:color w:val="0000FF"/>
                <w:sz w:val="16"/>
                <w:szCs w:val="16"/>
              </w:rPr>
            </w:pPr>
            <w:r w:rsidRPr="0075432F">
              <w:rPr>
                <w:rFonts w:ascii="Verdana" w:hAnsi="Verdana"/>
                <w:b/>
                <w:sz w:val="16"/>
              </w:rPr>
              <w:t>Pesticīdu atliekas, kas uzskaitītas Direktīvā</w:t>
            </w:r>
            <w:r w:rsidR="00B57AB7" w:rsidRPr="0075432F">
              <w:rPr>
                <w:rFonts w:ascii="Verdana" w:hAnsi="Verdana"/>
                <w:b/>
                <w:sz w:val="16"/>
              </w:rPr>
              <w:t xml:space="preserve"> </w:t>
            </w:r>
            <w:r w:rsidRPr="0075432F">
              <w:rPr>
                <w:rFonts w:ascii="Verdana" w:hAnsi="Verdana"/>
                <w:b/>
                <w:sz w:val="16"/>
              </w:rPr>
              <w:t>2002/32/EK par nevēlamām vielām dzīvnieku barībā</w:t>
            </w: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Ķ</w:t>
            </w:r>
          </w:p>
        </w:tc>
        <w:tc>
          <w:tcPr>
            <w:tcW w:w="979"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Ļoti 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Vidē var atrasties daži aizliegti pesticīdi. Tomēr iespējamība, ka tie varētu būt neattīrītā sojas pupiņu eļļā, ir ļoti maza. Ir atļauts attiecībā uz sojas pupiņām lietot endosulfānu. Pārraudzības dati liecina, ka tā atliekas neattīrītā eļļā nepārsniedz tiesību aktos noteikto robežvērtību</w:t>
            </w: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Direktīvā 2002/32/EK ir noteiktas robežvērtības attiecībā uz vairākām pesticīdu atliekām dzīvnieku barībā.</w:t>
            </w: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i/>
                <w:iCs/>
                <w:color w:val="0000FF"/>
                <w:sz w:val="16"/>
                <w:szCs w:val="16"/>
              </w:rPr>
            </w:pPr>
            <w:r w:rsidRPr="0075432F">
              <w:rPr>
                <w:rFonts w:ascii="Verdana" w:hAnsi="Verdana"/>
                <w:sz w:val="16"/>
              </w:rPr>
              <w:t>Pārraudzības plāns</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Vairums pesticīdu nešķīst ūdenī un netiks pārnesti uz glicerīna ūdens frakciju.</w:t>
            </w:r>
          </w:p>
        </w:tc>
      </w:tr>
      <w:tr w:rsidR="00DC7DEC" w:rsidRPr="0075432F" w:rsidTr="00861F33">
        <w:trPr>
          <w:trHeight w:val="1301"/>
        </w:trPr>
        <w:tc>
          <w:tcPr>
            <w:tcW w:w="188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Mikrobioloģisks piesārņojums</w:t>
            </w:r>
          </w:p>
        </w:tc>
        <w:tc>
          <w:tcPr>
            <w:tcW w:w="646"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p>
        </w:tc>
        <w:tc>
          <w:tcPr>
            <w:tcW w:w="979"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Vidēja</w:t>
            </w:r>
          </w:p>
        </w:tc>
        <w:tc>
          <w:tcPr>
            <w:tcW w:w="850" w:type="dxa"/>
            <w:tcBorders>
              <w:top w:val="single" w:sz="4" w:space="0" w:color="auto"/>
              <w:bottom w:val="single" w:sz="4" w:space="0" w:color="auto"/>
            </w:tcBorders>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rPr>
                <w:rFonts w:ascii="Verdana" w:hAnsi="Verdana"/>
                <w:sz w:val="16"/>
                <w:szCs w:val="16"/>
              </w:rPr>
            </w:pPr>
          </w:p>
        </w:tc>
        <w:tc>
          <w:tcPr>
            <w:tcW w:w="1985" w:type="dxa"/>
            <w:tcBorders>
              <w:top w:val="single" w:sz="4" w:space="0" w:color="auto"/>
              <w:bottom w:val="single" w:sz="4" w:space="0" w:color="auto"/>
            </w:tcBorders>
            <w:tcMar>
              <w:top w:w="85" w:type="dxa"/>
              <w:bottom w:w="85" w:type="dxa"/>
            </w:tcMar>
          </w:tcPr>
          <w:p w:rsidR="00DC7DEC" w:rsidRPr="0075432F" w:rsidRDefault="00DC7DEC" w:rsidP="00861F33">
            <w:pPr>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i/>
                <w:iCs/>
                <w:color w:val="0000FF"/>
                <w:sz w:val="16"/>
                <w:szCs w:val="16"/>
              </w:rPr>
            </w:pPr>
            <w:r w:rsidRPr="0075432F">
              <w:rPr>
                <w:rFonts w:ascii="Verdana" w:hAnsi="Verdana"/>
                <w:sz w:val="16"/>
              </w:rPr>
              <w:t>Pārraudzības plāns</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bl>
    <w:p w:rsidR="00373A06" w:rsidRPr="0075432F" w:rsidRDefault="00373A06" w:rsidP="00DC7DEC">
      <w:pPr>
        <w:rPr>
          <w:rFonts w:ascii="Verdana" w:hAnsi="Verdana"/>
          <w:szCs w:val="20"/>
        </w:rPr>
      </w:pPr>
    </w:p>
    <w:p w:rsidR="00373A06" w:rsidRPr="0075432F" w:rsidRDefault="00373A06">
      <w:pPr>
        <w:spacing w:after="200" w:line="276" w:lineRule="auto"/>
        <w:rPr>
          <w:rFonts w:ascii="Verdana" w:hAnsi="Verdana"/>
          <w:szCs w:val="20"/>
        </w:rPr>
      </w:pPr>
      <w:r w:rsidRPr="0075432F">
        <w:rPr>
          <w:rFonts w:ascii="Verdana" w:hAnsi="Verdana"/>
          <w:szCs w:val="20"/>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831"/>
        <w:gridCol w:w="1329"/>
        <w:gridCol w:w="939"/>
        <w:gridCol w:w="2835"/>
        <w:gridCol w:w="1559"/>
        <w:gridCol w:w="2551"/>
        <w:gridCol w:w="2127"/>
      </w:tblGrid>
      <w:tr w:rsidR="00DC7DEC" w:rsidRPr="0075432F" w:rsidTr="00861F33">
        <w:trPr>
          <w:trHeight w:val="429"/>
        </w:trPr>
        <w:tc>
          <w:tcPr>
            <w:tcW w:w="4698" w:type="dxa"/>
            <w:gridSpan w:val="4"/>
            <w:tcBorders>
              <w:bottom w:val="single" w:sz="4" w:space="0" w:color="auto"/>
            </w:tcBorders>
            <w:shd w:val="clear" w:color="auto" w:fill="0DA72A"/>
            <w:tcMar>
              <w:top w:w="57" w:type="dxa"/>
              <w:bottom w:w="57" w:type="dxa"/>
            </w:tcMar>
            <w:vAlign w:val="center"/>
          </w:tcPr>
          <w:p w:rsidR="00DC7DEC" w:rsidRPr="0075432F" w:rsidRDefault="00DC7DEC" w:rsidP="00373A06">
            <w:pPr>
              <w:keepNext/>
              <w:widowControl w:val="0"/>
              <w:spacing w:before="20" w:after="20"/>
              <w:ind w:left="85" w:right="85"/>
              <w:rPr>
                <w:rFonts w:ascii="Verdana" w:hAnsi="Verdana"/>
                <w:b/>
                <w:color w:val="FFFFFF"/>
                <w:sz w:val="32"/>
                <w:szCs w:val="32"/>
              </w:rPr>
            </w:pPr>
            <w:r w:rsidRPr="0075432F">
              <w:rPr>
                <w:rFonts w:ascii="Verdana" w:hAnsi="Verdana"/>
                <w:b/>
                <w:color w:val="FFFFFF"/>
                <w:sz w:val="32"/>
              </w:rPr>
              <w:lastRenderedPageBreak/>
              <w:t>8. Uz riska izvērtēšanu balstīta pieeja attiecībā uz glicerīnu</w:t>
            </w:r>
          </w:p>
          <w:p w:rsidR="00DC7DEC" w:rsidRPr="0075432F" w:rsidRDefault="00DC7DEC" w:rsidP="00373A06">
            <w:pPr>
              <w:keepNext/>
              <w:widowControl w:val="0"/>
              <w:spacing w:before="20" w:after="20"/>
              <w:jc w:val="right"/>
              <w:rPr>
                <w:rFonts w:ascii="Verdana" w:hAnsi="Verdana"/>
                <w:b/>
                <w:bCs/>
                <w:color w:val="FFFFFF"/>
                <w:sz w:val="28"/>
                <w:szCs w:val="28"/>
              </w:rPr>
            </w:pPr>
          </w:p>
        </w:tc>
        <w:tc>
          <w:tcPr>
            <w:tcW w:w="10011" w:type="dxa"/>
            <w:gridSpan w:val="5"/>
            <w:tcBorders>
              <w:left w:val="nil"/>
              <w:bottom w:val="single" w:sz="4" w:space="0" w:color="auto"/>
            </w:tcBorders>
            <w:shd w:val="clear" w:color="auto" w:fill="0DA72A"/>
            <w:tcMar>
              <w:top w:w="57" w:type="dxa"/>
              <w:bottom w:w="57" w:type="dxa"/>
            </w:tcMar>
            <w:vAlign w:val="center"/>
          </w:tcPr>
          <w:p w:rsidR="00DC7DEC" w:rsidRPr="0075432F" w:rsidRDefault="00DC7DEC" w:rsidP="00861F33">
            <w:pPr>
              <w:widowControl w:val="0"/>
              <w:rPr>
                <w:rFonts w:ascii="Verdana" w:hAnsi="Verdana"/>
                <w:b/>
                <w:color w:val="FFFFFF"/>
                <w:sz w:val="28"/>
                <w:szCs w:val="28"/>
              </w:rPr>
            </w:pPr>
            <w:r w:rsidRPr="0075432F">
              <w:rPr>
                <w:rFonts w:ascii="Verdana" w:hAnsi="Verdana"/>
                <w:b/>
                <w:color w:val="FFFFFF"/>
                <w:sz w:val="28"/>
              </w:rPr>
              <w:t>3. Ienākošā materiāla uzglabāšana</w:t>
            </w:r>
          </w:p>
        </w:tc>
      </w:tr>
      <w:tr w:rsidR="00DC7DEC" w:rsidRPr="0075432F" w:rsidTr="00861F33">
        <w:trPr>
          <w:trHeight w:val="536"/>
        </w:trPr>
        <w:tc>
          <w:tcPr>
            <w:tcW w:w="1890"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48"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831"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jc w:val="center"/>
              <w:rPr>
                <w:rFonts w:ascii="Verdana" w:hAnsi="Verdana"/>
                <w:b/>
                <w:bCs/>
                <w:color w:val="FFFFFF"/>
                <w:sz w:val="14"/>
                <w:szCs w:val="14"/>
              </w:rPr>
            </w:pPr>
            <w:r w:rsidRPr="0075432F">
              <w:rPr>
                <w:rFonts w:ascii="Verdana" w:hAnsi="Verdana"/>
                <w:b/>
                <w:color w:val="FFFFFF"/>
                <w:sz w:val="14"/>
              </w:rPr>
              <w:t>IESPĒ</w:t>
            </w:r>
            <w:r w:rsidR="00373A06" w:rsidRPr="0075432F">
              <w:rPr>
                <w:rFonts w:ascii="Verdana" w:hAnsi="Verdana"/>
                <w:b/>
                <w:color w:val="FFFFFF"/>
                <w:sz w:val="14"/>
              </w:rPr>
              <w:softHyphen/>
            </w:r>
            <w:r w:rsidRPr="0075432F">
              <w:rPr>
                <w:rFonts w:ascii="Verdana" w:hAnsi="Verdana"/>
                <w:b/>
                <w:color w:val="FFFFFF"/>
                <w:sz w:val="14"/>
              </w:rPr>
              <w:t xml:space="preserve">JAMĪBA </w:t>
            </w:r>
          </w:p>
        </w:tc>
        <w:tc>
          <w:tcPr>
            <w:tcW w:w="1329"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NOPIETNĪBA </w:t>
            </w:r>
          </w:p>
        </w:tc>
        <w:tc>
          <w:tcPr>
            <w:tcW w:w="939"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RISKA KLASE </w:t>
            </w:r>
          </w:p>
        </w:tc>
        <w:tc>
          <w:tcPr>
            <w:tcW w:w="2835"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1559"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TIESĪBU AKTI, NOZARES STANDARTI </w:t>
            </w:r>
          </w:p>
        </w:tc>
        <w:tc>
          <w:tcPr>
            <w:tcW w:w="2551" w:type="dxa"/>
            <w:tcBorders>
              <w:bottom w:val="single" w:sz="4" w:space="0" w:color="auto"/>
            </w:tcBorders>
            <w:shd w:val="clear" w:color="auto" w:fill="0DA72A"/>
            <w:tcMar>
              <w:top w:w="28" w:type="dxa"/>
              <w:bottom w:w="28" w:type="dxa"/>
            </w:tcMar>
            <w:vAlign w:val="center"/>
          </w:tcPr>
          <w:p w:rsidR="00DC7DEC" w:rsidRPr="0075432F" w:rsidRDefault="00DC7DEC" w:rsidP="00373A06">
            <w:pPr>
              <w:keepNext/>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r w:rsidR="000D3DB5" w:rsidRPr="0075432F">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1701"/>
        </w:trPr>
        <w:tc>
          <w:tcPr>
            <w:tcW w:w="1890" w:type="dxa"/>
            <w:tcMar>
              <w:top w:w="85" w:type="dxa"/>
              <w:bottom w:w="85" w:type="dxa"/>
            </w:tcMar>
          </w:tcPr>
          <w:p w:rsidR="00DC7DEC" w:rsidRPr="0075432F" w:rsidRDefault="00DC7DEC" w:rsidP="00373A06">
            <w:pPr>
              <w:keepNext/>
              <w:widowControl w:val="0"/>
              <w:rPr>
                <w:rFonts w:ascii="Verdana" w:hAnsi="Verdana"/>
                <w:b/>
                <w:bCs/>
                <w:sz w:val="16"/>
                <w:szCs w:val="16"/>
              </w:rPr>
            </w:pPr>
            <w:r w:rsidRPr="0075432F">
              <w:rPr>
                <w:rFonts w:ascii="Verdana" w:hAnsi="Verdana"/>
                <w:b/>
                <w:sz w:val="16"/>
              </w:rPr>
              <w:t>Piesārņojums ar tīrīšanas līdzekļiem</w:t>
            </w:r>
          </w:p>
        </w:tc>
        <w:tc>
          <w:tcPr>
            <w:tcW w:w="648" w:type="dxa"/>
            <w:tcMar>
              <w:top w:w="85" w:type="dxa"/>
              <w:bottom w:w="85" w:type="dxa"/>
            </w:tcMar>
          </w:tcPr>
          <w:p w:rsidR="00DC7DEC" w:rsidRPr="0075432F" w:rsidRDefault="00DC7DEC" w:rsidP="00373A06">
            <w:pPr>
              <w:keepNext/>
              <w:widowControl w:val="0"/>
              <w:jc w:val="center"/>
              <w:rPr>
                <w:rFonts w:ascii="Verdana" w:hAnsi="Verdana"/>
                <w:sz w:val="16"/>
                <w:szCs w:val="16"/>
              </w:rPr>
            </w:pPr>
            <w:r w:rsidRPr="0075432F">
              <w:rPr>
                <w:rFonts w:ascii="Verdana" w:hAnsi="Verdana"/>
                <w:sz w:val="16"/>
              </w:rPr>
              <w:t>Ķ</w:t>
            </w:r>
          </w:p>
        </w:tc>
        <w:tc>
          <w:tcPr>
            <w:tcW w:w="831" w:type="dxa"/>
            <w:tcMar>
              <w:top w:w="85" w:type="dxa"/>
              <w:bottom w:w="85" w:type="dxa"/>
            </w:tcMar>
          </w:tcPr>
          <w:p w:rsidR="00DC7DEC" w:rsidRPr="0075432F" w:rsidRDefault="00DC7DEC" w:rsidP="00373A06">
            <w:pPr>
              <w:keepNext/>
              <w:widowControl w:val="0"/>
              <w:jc w:val="center"/>
              <w:rPr>
                <w:rFonts w:ascii="Verdana" w:hAnsi="Verdana"/>
                <w:sz w:val="16"/>
                <w:szCs w:val="16"/>
              </w:rPr>
            </w:pPr>
            <w:r w:rsidRPr="0075432F">
              <w:rPr>
                <w:rFonts w:ascii="Verdana" w:hAnsi="Verdana"/>
                <w:sz w:val="16"/>
              </w:rPr>
              <w:t>Maza</w:t>
            </w:r>
          </w:p>
        </w:tc>
        <w:tc>
          <w:tcPr>
            <w:tcW w:w="1329" w:type="dxa"/>
            <w:tcMar>
              <w:top w:w="85" w:type="dxa"/>
              <w:bottom w:w="85" w:type="dxa"/>
            </w:tcMar>
          </w:tcPr>
          <w:p w:rsidR="00DC7DEC" w:rsidRPr="0075432F" w:rsidRDefault="00DC7DEC" w:rsidP="00373A06">
            <w:pPr>
              <w:keepNext/>
              <w:widowControl w:val="0"/>
              <w:jc w:val="center"/>
              <w:rPr>
                <w:rFonts w:ascii="Verdana" w:hAnsi="Verdana"/>
                <w:sz w:val="16"/>
                <w:szCs w:val="16"/>
              </w:rPr>
            </w:pPr>
            <w:r w:rsidRPr="0075432F">
              <w:rPr>
                <w:rFonts w:ascii="Verdana" w:hAnsi="Verdana"/>
                <w:sz w:val="16"/>
              </w:rPr>
              <w:t xml:space="preserve"> Vidēja</w:t>
            </w:r>
          </w:p>
        </w:tc>
        <w:tc>
          <w:tcPr>
            <w:tcW w:w="939" w:type="dxa"/>
            <w:tcMar>
              <w:top w:w="85" w:type="dxa"/>
              <w:bottom w:w="85" w:type="dxa"/>
            </w:tcMar>
          </w:tcPr>
          <w:p w:rsidR="00DC7DEC" w:rsidRPr="0075432F" w:rsidRDefault="00DC7DEC" w:rsidP="00373A06">
            <w:pPr>
              <w:keepNext/>
              <w:widowControl w:val="0"/>
              <w:jc w:val="center"/>
              <w:rPr>
                <w:rFonts w:ascii="Verdana" w:hAnsi="Verdana"/>
                <w:sz w:val="16"/>
                <w:szCs w:val="16"/>
              </w:rPr>
            </w:pPr>
            <w:r w:rsidRPr="0075432F">
              <w:rPr>
                <w:rFonts w:ascii="Verdana" w:hAnsi="Verdana"/>
                <w:sz w:val="16"/>
              </w:rPr>
              <w:t xml:space="preserve"> 3.</w:t>
            </w:r>
          </w:p>
        </w:tc>
        <w:tc>
          <w:tcPr>
            <w:tcW w:w="2835" w:type="dxa"/>
            <w:tcMar>
              <w:top w:w="85" w:type="dxa"/>
              <w:bottom w:w="85" w:type="dxa"/>
            </w:tcMar>
          </w:tcPr>
          <w:p w:rsidR="00DC7DEC" w:rsidRPr="0075432F" w:rsidRDefault="00DC7DEC" w:rsidP="00373A06">
            <w:pPr>
              <w:keepNext/>
              <w:widowControl w:val="0"/>
              <w:rPr>
                <w:rFonts w:ascii="Verdana" w:hAnsi="Verdana"/>
                <w:sz w:val="16"/>
                <w:szCs w:val="16"/>
              </w:rPr>
            </w:pPr>
            <w:r w:rsidRPr="0075432F">
              <w:rPr>
                <w:rFonts w:ascii="Verdana" w:hAnsi="Verdana"/>
                <w:sz w:val="16"/>
              </w:rPr>
              <w:t xml:space="preserve">Šī riska klasifikācijas grupa attiecas uz termināļiem, kuros glabā gan ķīmiskās vielas, gan augu eļļas. Operatori, iespējams, neizmanto tādus tīrīšanas līdzekļus, kas ir piemēroti izmantošanai pārtikas ražošanas nozarē. Eiropas Savienībā tvertņu termināļos, kuros īsteno </w:t>
            </w:r>
            <w:r w:rsidRPr="0075432F">
              <w:rPr>
                <w:rFonts w:ascii="Verdana" w:hAnsi="Verdana"/>
                <w:i/>
                <w:sz w:val="16"/>
              </w:rPr>
              <w:t>HACCP</w:t>
            </w:r>
            <w:r w:rsidRPr="0075432F">
              <w:rPr>
                <w:rFonts w:ascii="Verdana" w:hAnsi="Verdana"/>
                <w:sz w:val="16"/>
              </w:rPr>
              <w:t xml:space="preserve"> un kuros augu eļļas un ķīmiskās vielas uzglabā atsevišķi, ir ļoti maza iespējamība, ka tiks izmantoti nepareizi tīrīšanas līdzekļi.</w:t>
            </w:r>
          </w:p>
        </w:tc>
        <w:tc>
          <w:tcPr>
            <w:tcW w:w="1559" w:type="dxa"/>
            <w:tcMar>
              <w:top w:w="85" w:type="dxa"/>
              <w:bottom w:w="85" w:type="dxa"/>
            </w:tcMar>
          </w:tcPr>
          <w:p w:rsidR="00DC7DEC" w:rsidRPr="0075432F" w:rsidRDefault="00DC7DEC" w:rsidP="00373A06">
            <w:pPr>
              <w:keepNext/>
              <w:widowControl w:val="0"/>
              <w:rPr>
                <w:rFonts w:ascii="Verdana" w:hAnsi="Verdana"/>
                <w:sz w:val="16"/>
                <w:szCs w:val="16"/>
              </w:rPr>
            </w:pPr>
          </w:p>
        </w:tc>
        <w:tc>
          <w:tcPr>
            <w:tcW w:w="2551" w:type="dxa"/>
            <w:tcMar>
              <w:top w:w="85" w:type="dxa"/>
              <w:bottom w:w="85" w:type="dxa"/>
            </w:tcMar>
          </w:tcPr>
          <w:p w:rsidR="00DC7DEC" w:rsidRPr="0075432F" w:rsidRDefault="00DC7DEC" w:rsidP="00373A06">
            <w:pPr>
              <w:keepNext/>
              <w:widowControl w:val="0"/>
              <w:rPr>
                <w:rFonts w:ascii="Verdana" w:hAnsi="Verdana"/>
                <w:sz w:val="16"/>
                <w:szCs w:val="16"/>
              </w:rPr>
            </w:pPr>
            <w:r w:rsidRPr="0075432F">
              <w:rPr>
                <w:rFonts w:ascii="Verdana" w:hAnsi="Verdana"/>
                <w:sz w:val="16"/>
              </w:rPr>
              <w:t>Jānovērtē izmantotie tīrīšanas līdzekļi un jāīsteno piemēroti pasākumi, lai samazinātu risku līdz pieņemamam līmenim.</w:t>
            </w:r>
          </w:p>
        </w:tc>
        <w:tc>
          <w:tcPr>
            <w:tcW w:w="2127" w:type="dxa"/>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935"/>
        </w:trPr>
        <w:tc>
          <w:tcPr>
            <w:tcW w:w="1890" w:type="dxa"/>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Apkures šķidrumi no bojāta aprīkojuma</w:t>
            </w:r>
          </w:p>
        </w:tc>
        <w:tc>
          <w:tcPr>
            <w:tcW w:w="648"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831"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329"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939" w:type="dxa"/>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835" w:type="dxa"/>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Joprojām pastāv iespēja, ka tiek izmantoti toksiski apkures šķidrumi. Tomēr, tā kā noliktavā izmantotā apkures temperatūra ir salīdzinoši zema, iespējamība, ka apkures šķidrumi ieplūdīs produktā, ir maza.</w:t>
            </w:r>
          </w:p>
        </w:tc>
        <w:tc>
          <w:tcPr>
            <w:tcW w:w="1559" w:type="dxa"/>
            <w:tcMar>
              <w:top w:w="85" w:type="dxa"/>
              <w:bottom w:w="85" w:type="dxa"/>
            </w:tcMar>
          </w:tcPr>
          <w:p w:rsidR="00DC7DEC" w:rsidRPr="0075432F" w:rsidRDefault="00DC7DEC" w:rsidP="00861F33">
            <w:pPr>
              <w:widowControl w:val="0"/>
              <w:rPr>
                <w:rFonts w:ascii="Verdana" w:hAnsi="Verdana"/>
                <w:sz w:val="16"/>
                <w:szCs w:val="16"/>
              </w:rPr>
            </w:pPr>
          </w:p>
        </w:tc>
        <w:tc>
          <w:tcPr>
            <w:tcW w:w="2551" w:type="dxa"/>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Dokumentācija par tīrajiem zaudējumiem un attiecīga analīze vajadzības gadījumā </w:t>
            </w:r>
          </w:p>
        </w:tc>
        <w:tc>
          <w:tcPr>
            <w:tcW w:w="2127" w:type="dxa"/>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Ieteicams izmantot ūdens un tvaika apkuri. Apkures šķidrumi parasti netiek izmantoti.</w:t>
            </w:r>
          </w:p>
        </w:tc>
      </w:tr>
      <w:tr w:rsidR="00DC7DEC" w:rsidRPr="0075432F" w:rsidTr="00861F33">
        <w:trPr>
          <w:trHeight w:val="935"/>
        </w:trPr>
        <w:tc>
          <w:tcPr>
            <w:tcW w:w="1890" w:type="dxa"/>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Savstarpējs piesārņojums</w:t>
            </w:r>
          </w:p>
        </w:tc>
        <w:tc>
          <w:tcPr>
            <w:tcW w:w="648"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831"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329"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939"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835" w:type="dxa"/>
            <w:tcMar>
              <w:top w:w="85" w:type="dxa"/>
              <w:bottom w:w="85" w:type="dxa"/>
            </w:tcMar>
          </w:tcPr>
          <w:p w:rsidR="00DC7DEC" w:rsidRPr="0075432F" w:rsidRDefault="00DC7DEC" w:rsidP="00373A06">
            <w:pPr>
              <w:widowControl w:val="0"/>
              <w:rPr>
                <w:rFonts w:ascii="Verdana" w:hAnsi="Verdana"/>
                <w:sz w:val="16"/>
                <w:szCs w:val="16"/>
              </w:rPr>
            </w:pPr>
            <w:r w:rsidRPr="0075432F">
              <w:rPr>
                <w:rFonts w:ascii="Verdana" w:hAnsi="Verdana"/>
                <w:sz w:val="16"/>
              </w:rPr>
              <w:t>Risku cita starpā var radīt aprīkojuma bojājumi un operatoru izraisīti negadījumi. Ārkārtīgi maza sastopamība. Profilaktiski ietekmes mazināšanas pasākumi ir, piem</w:t>
            </w:r>
            <w:r w:rsidR="00373A06" w:rsidRPr="0075432F">
              <w:rPr>
                <w:rFonts w:ascii="Verdana" w:hAnsi="Verdana"/>
                <w:sz w:val="16"/>
              </w:rPr>
              <w:t>.</w:t>
            </w:r>
            <w:r w:rsidRPr="0075432F">
              <w:rPr>
                <w:rFonts w:ascii="Verdana" w:hAnsi="Verdana"/>
                <w:sz w:val="16"/>
              </w:rPr>
              <w:t>,</w:t>
            </w:r>
            <w:r w:rsidR="00373A06" w:rsidRPr="0075432F">
              <w:rPr>
                <w:rFonts w:ascii="Verdana" w:hAnsi="Verdana"/>
                <w:sz w:val="16"/>
              </w:rPr>
              <w:t xml:space="preserve"> </w:t>
            </w:r>
            <w:r w:rsidRPr="0075432F">
              <w:rPr>
                <w:rFonts w:ascii="Verdana" w:hAnsi="Verdana"/>
                <w:sz w:val="16"/>
              </w:rPr>
              <w:t>automātisku drošības mehānismu izmantošana, noplūdes ierobežošana, drošības pasākumu īstenošana objektā, piekļuves ierobežošana objektam.</w:t>
            </w:r>
          </w:p>
        </w:tc>
        <w:tc>
          <w:tcPr>
            <w:tcW w:w="1559" w:type="dxa"/>
            <w:tcMar>
              <w:top w:w="85" w:type="dxa"/>
              <w:bottom w:w="85" w:type="dxa"/>
            </w:tcMar>
          </w:tcPr>
          <w:p w:rsidR="00DC7DEC" w:rsidRPr="0075432F" w:rsidRDefault="00DC7DEC" w:rsidP="00861F33">
            <w:pPr>
              <w:widowControl w:val="0"/>
              <w:rPr>
                <w:rFonts w:ascii="Verdana" w:hAnsi="Verdana"/>
                <w:sz w:val="16"/>
                <w:szCs w:val="16"/>
              </w:rPr>
            </w:pPr>
          </w:p>
        </w:tc>
        <w:tc>
          <w:tcPr>
            <w:tcW w:w="2551" w:type="dxa"/>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Ieviesta uzglabāšanas procedūra</w:t>
            </w:r>
          </w:p>
        </w:tc>
        <w:tc>
          <w:tcPr>
            <w:tcW w:w="2127" w:type="dxa"/>
            <w:tcMar>
              <w:top w:w="85" w:type="dxa"/>
              <w:bottom w:w="85" w:type="dxa"/>
            </w:tcMar>
          </w:tcPr>
          <w:p w:rsidR="00DC7DEC" w:rsidRPr="0075432F" w:rsidRDefault="00DC7DEC" w:rsidP="00861F33">
            <w:pPr>
              <w:widowControl w:val="0"/>
              <w:rPr>
                <w:rFonts w:ascii="Verdana" w:hAnsi="Verdana"/>
                <w:sz w:val="16"/>
                <w:szCs w:val="16"/>
              </w:rPr>
            </w:pPr>
          </w:p>
        </w:tc>
      </w:tr>
    </w:tbl>
    <w:p w:rsidR="00DC7DEC" w:rsidRPr="0075432F" w:rsidRDefault="00DC7DEC" w:rsidP="00DC7DEC">
      <w:pPr>
        <w:rPr>
          <w:rFonts w:ascii="Verdana" w:hAnsi="Verdana"/>
          <w:sz w:val="14"/>
          <w:szCs w:val="14"/>
        </w:rPr>
      </w:pPr>
    </w:p>
    <w:p w:rsidR="00DC7DEC" w:rsidRPr="0075432F" w:rsidRDefault="00DC7DEC" w:rsidP="00DC7DEC">
      <w:pPr>
        <w:pStyle w:val="Heading1"/>
        <w:numPr>
          <w:ilvl w:val="0"/>
          <w:numId w:val="0"/>
        </w:numPr>
        <w:ind w:left="432"/>
        <w:rPr>
          <w:rFonts w:ascii="Verdana" w:hAnsi="Verdana"/>
          <w:sz w:val="14"/>
          <w:szCs w:val="14"/>
        </w:rPr>
      </w:pPr>
      <w:r w:rsidRPr="0075432F">
        <w:rPr>
          <w:rFonts w:ascii="Verdana" w:hAnsi="Verdana"/>
        </w:rPr>
        <w:br w:type="page"/>
      </w:r>
    </w:p>
    <w:p w:rsidR="00DC7DEC" w:rsidRPr="0075432F" w:rsidRDefault="00DC7DEC" w:rsidP="00DC7DEC">
      <w:pPr>
        <w:rPr>
          <w:rFonts w:ascii="Verdana" w:hAnsi="Verdan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636"/>
        <w:gridCol w:w="877"/>
        <w:gridCol w:w="1417"/>
        <w:gridCol w:w="851"/>
        <w:gridCol w:w="2524"/>
        <w:gridCol w:w="1870"/>
        <w:gridCol w:w="2551"/>
        <w:gridCol w:w="2127"/>
      </w:tblGrid>
      <w:tr w:rsidR="00DC7DEC" w:rsidRPr="0075432F" w:rsidTr="00861F33">
        <w:trPr>
          <w:trHeight w:val="558"/>
        </w:trPr>
        <w:tc>
          <w:tcPr>
            <w:tcW w:w="4786" w:type="dxa"/>
            <w:gridSpan w:val="4"/>
            <w:tcBorders>
              <w:bottom w:val="single" w:sz="4" w:space="0" w:color="auto"/>
            </w:tcBorders>
            <w:shd w:val="clear" w:color="auto" w:fill="0DA72A"/>
            <w:tcMar>
              <w:top w:w="57" w:type="dxa"/>
              <w:bottom w:w="57" w:type="dxa"/>
            </w:tcMar>
            <w:vAlign w:val="center"/>
          </w:tcPr>
          <w:p w:rsidR="00DC7DEC" w:rsidRPr="0075432F" w:rsidRDefault="00DC7DEC" w:rsidP="00861F33">
            <w:pPr>
              <w:widowControl w:val="0"/>
              <w:spacing w:before="20" w:after="20"/>
              <w:ind w:left="85" w:right="85"/>
              <w:rPr>
                <w:rFonts w:ascii="Verdana" w:hAnsi="Verdana"/>
                <w:b/>
                <w:color w:val="FFFFFF"/>
                <w:sz w:val="32"/>
                <w:szCs w:val="32"/>
              </w:rPr>
            </w:pPr>
            <w:r w:rsidRPr="0075432F">
              <w:rPr>
                <w:rFonts w:ascii="Verdana" w:hAnsi="Verdana"/>
                <w:b/>
                <w:color w:val="FFFFFF"/>
                <w:sz w:val="32"/>
              </w:rPr>
              <w:t>8. Uz riska izvērtēšanu balstīta pieeja attiecībā uz glicerīnu</w:t>
            </w:r>
          </w:p>
          <w:p w:rsidR="00DC7DEC" w:rsidRPr="0075432F" w:rsidRDefault="00DC7DEC" w:rsidP="00861F33">
            <w:pPr>
              <w:widowControl w:val="0"/>
              <w:spacing w:before="20" w:after="20"/>
              <w:jc w:val="right"/>
              <w:rPr>
                <w:rFonts w:ascii="Verdana" w:hAnsi="Verdan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vAlign w:val="center"/>
          </w:tcPr>
          <w:p w:rsidR="00DC7DEC" w:rsidRPr="0075432F" w:rsidRDefault="00DC7DEC" w:rsidP="00861F33">
            <w:pPr>
              <w:widowControl w:val="0"/>
              <w:rPr>
                <w:rFonts w:ascii="Verdana" w:hAnsi="Verdana"/>
                <w:b/>
                <w:color w:val="FFFFFF"/>
                <w:sz w:val="28"/>
                <w:szCs w:val="28"/>
              </w:rPr>
            </w:pPr>
            <w:r w:rsidRPr="0075432F">
              <w:rPr>
                <w:rFonts w:ascii="Verdana" w:hAnsi="Verdana"/>
                <w:b/>
                <w:color w:val="FFFFFF"/>
                <w:sz w:val="28"/>
              </w:rPr>
              <w:t>4. Pirmais posms no trim: pāresterificēšana (reakcijas posms)</w:t>
            </w:r>
          </w:p>
        </w:tc>
      </w:tr>
      <w:tr w:rsidR="00DC7DEC" w:rsidRPr="0075432F" w:rsidTr="00861F33">
        <w:trPr>
          <w:trHeight w:val="988"/>
        </w:trPr>
        <w:tc>
          <w:tcPr>
            <w:tcW w:w="1856"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36"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87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IESPĒJA</w:t>
            </w:r>
            <w:r w:rsidR="00373A06" w:rsidRPr="0075432F">
              <w:rPr>
                <w:rFonts w:ascii="Verdana" w:hAnsi="Verdana"/>
                <w:b/>
                <w:color w:val="FFFFFF"/>
                <w:sz w:val="14"/>
              </w:rPr>
              <w:softHyphen/>
            </w:r>
            <w:r w:rsidRPr="0075432F">
              <w:rPr>
                <w:rFonts w:ascii="Verdana" w:hAnsi="Verdana"/>
                <w:b/>
                <w:color w:val="FFFFFF"/>
                <w:sz w:val="14"/>
              </w:rPr>
              <w:t xml:space="preserve">MĪBA </w:t>
            </w:r>
          </w:p>
        </w:tc>
        <w:tc>
          <w:tcPr>
            <w:tcW w:w="141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NOPIETNĪBA </w:t>
            </w:r>
          </w:p>
        </w:tc>
        <w:tc>
          <w:tcPr>
            <w:tcW w:w="851"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RISKA KLASE</w:t>
            </w:r>
          </w:p>
        </w:tc>
        <w:tc>
          <w:tcPr>
            <w:tcW w:w="2524"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187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TIESĪBU AKTI, NOZARES STANDARTI </w:t>
            </w:r>
          </w:p>
        </w:tc>
        <w:tc>
          <w:tcPr>
            <w:tcW w:w="2551"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r w:rsidR="000D3DB5" w:rsidRPr="0075432F">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151"/>
        </w:trPr>
        <w:tc>
          <w:tcPr>
            <w:tcW w:w="1856" w:type="dxa"/>
            <w:tcBorders>
              <w:bottom w:val="single" w:sz="4" w:space="0" w:color="auto"/>
            </w:tcBorders>
            <w:tcMar>
              <w:top w:w="85" w:type="dxa"/>
              <w:bottom w:w="85" w:type="dxa"/>
            </w:tcMar>
          </w:tcPr>
          <w:p w:rsidR="00DC7DEC" w:rsidRPr="0075432F" w:rsidRDefault="00DC7DEC" w:rsidP="00373A06">
            <w:pPr>
              <w:widowControl w:val="0"/>
              <w:rPr>
                <w:rFonts w:ascii="Verdana" w:hAnsi="Verdana"/>
                <w:b/>
                <w:bCs/>
                <w:sz w:val="16"/>
                <w:szCs w:val="16"/>
              </w:rPr>
            </w:pPr>
            <w:r w:rsidRPr="0075432F">
              <w:rPr>
                <w:rFonts w:ascii="Verdana" w:hAnsi="Verdana"/>
                <w:b/>
                <w:sz w:val="16"/>
              </w:rPr>
              <w:t>Piesārņotāji pārstrādes palīglīdzekļos (sārma šķīdums, skābes)</w:t>
            </w:r>
          </w:p>
        </w:tc>
        <w:tc>
          <w:tcPr>
            <w:tcW w:w="636"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877"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 Maza</w:t>
            </w:r>
          </w:p>
        </w:tc>
        <w:tc>
          <w:tcPr>
            <w:tcW w:w="1417"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851" w:type="dxa"/>
            <w:tcBorders>
              <w:bottom w:val="single" w:sz="4" w:space="0" w:color="auto"/>
            </w:tcBorders>
            <w:shd w:val="clear" w:color="auto" w:fill="auto"/>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2. </w:t>
            </w:r>
          </w:p>
        </w:tc>
        <w:tc>
          <w:tcPr>
            <w:tcW w:w="2524"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Pārstrādes palīglīdzekļi nonāk saskarē ar produktu.</w:t>
            </w:r>
          </w:p>
        </w:tc>
        <w:tc>
          <w:tcPr>
            <w:tcW w:w="1870"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Regula (ES) Nr. 68/2013, ar ko izveido barības sastāvdaļu reģistru</w:t>
            </w:r>
          </w:p>
        </w:tc>
        <w:tc>
          <w:tcPr>
            <w:tcW w:w="2551"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Jānovērtē pārstrādes palīglīdzekļi, kas nonāk tiešā saskarē ar eļļu, un jāīsteno piemēroti pasākumi, lai samazinātu risku līdz pieņemamam līmenim. </w:t>
            </w:r>
          </w:p>
          <w:p w:rsidR="00DC7DEC" w:rsidRPr="0075432F" w:rsidRDefault="00DC7DEC" w:rsidP="00861F33">
            <w:pPr>
              <w:widowControl w:val="0"/>
              <w:rPr>
                <w:rFonts w:ascii="Verdana" w:hAnsi="Verdana"/>
                <w:sz w:val="16"/>
                <w:szCs w:val="16"/>
              </w:rPr>
            </w:pPr>
          </w:p>
          <w:p w:rsidR="00DC7DEC" w:rsidRPr="0075432F" w:rsidRDefault="00DC7DEC" w:rsidP="00861F33">
            <w:pPr>
              <w:widowControl w:val="0"/>
              <w:rPr>
                <w:rFonts w:ascii="Verdana" w:hAnsi="Verdana"/>
                <w:sz w:val="16"/>
                <w:szCs w:val="16"/>
              </w:rPr>
            </w:pPr>
            <w:r w:rsidRPr="0075432F">
              <w:rPr>
                <w:rFonts w:ascii="Verdana" w:hAnsi="Verdana"/>
                <w:sz w:val="16"/>
              </w:rPr>
              <w:t>Jāīsteno procesa pārraudzība uz vietas, pareizi jāmarķē ķīmisko vielu konteineri.</w:t>
            </w:r>
          </w:p>
        </w:tc>
        <w:tc>
          <w:tcPr>
            <w:tcW w:w="2127"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51"/>
        </w:trPr>
        <w:tc>
          <w:tcPr>
            <w:tcW w:w="1856" w:type="dxa"/>
            <w:tcMar>
              <w:top w:w="85" w:type="dxa"/>
              <w:bottom w:w="85" w:type="dxa"/>
            </w:tcMar>
          </w:tcPr>
          <w:p w:rsidR="00DC7DEC" w:rsidRPr="0075432F" w:rsidRDefault="00851557" w:rsidP="00851557">
            <w:pPr>
              <w:rPr>
                <w:rFonts w:ascii="Verdana" w:hAnsi="Verdana"/>
                <w:b/>
                <w:bCs/>
                <w:sz w:val="16"/>
                <w:szCs w:val="16"/>
              </w:rPr>
            </w:pPr>
            <w:r>
              <w:rPr>
                <w:rFonts w:ascii="Verdana" w:hAnsi="Verdana"/>
                <w:b/>
                <w:sz w:val="16"/>
              </w:rPr>
              <w:t xml:space="preserve">Metanola </w:t>
            </w:r>
            <w:r w:rsidR="00DC7DEC" w:rsidRPr="0075432F">
              <w:rPr>
                <w:rFonts w:ascii="Verdana" w:hAnsi="Verdana"/>
                <w:b/>
                <w:sz w:val="16"/>
              </w:rPr>
              <w:t>pievienošanas laikā radīts piesārņojums</w:t>
            </w:r>
          </w:p>
        </w:tc>
        <w:tc>
          <w:tcPr>
            <w:tcW w:w="636" w:type="dxa"/>
            <w:tcMar>
              <w:top w:w="85" w:type="dxa"/>
              <w:bottom w:w="85" w:type="dxa"/>
            </w:tcMar>
          </w:tcPr>
          <w:p w:rsidR="00DC7DEC" w:rsidRPr="0075432F" w:rsidRDefault="00DC7DEC" w:rsidP="00861F33">
            <w:pPr>
              <w:jc w:val="center"/>
              <w:rPr>
                <w:rFonts w:ascii="Verdana" w:hAnsi="Verdana"/>
                <w:sz w:val="16"/>
                <w:szCs w:val="16"/>
              </w:rPr>
            </w:pPr>
          </w:p>
        </w:tc>
        <w:tc>
          <w:tcPr>
            <w:tcW w:w="877" w:type="dxa"/>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Maza</w:t>
            </w:r>
          </w:p>
        </w:tc>
        <w:tc>
          <w:tcPr>
            <w:tcW w:w="1417" w:type="dxa"/>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Vidēja</w:t>
            </w:r>
          </w:p>
        </w:tc>
        <w:tc>
          <w:tcPr>
            <w:tcW w:w="851" w:type="dxa"/>
            <w:tcMar>
              <w:top w:w="85" w:type="dxa"/>
              <w:bottom w:w="85" w:type="dxa"/>
            </w:tcMar>
          </w:tcPr>
          <w:p w:rsidR="00DC7DEC" w:rsidRPr="0075432F" w:rsidRDefault="00DC7DEC" w:rsidP="00861F33">
            <w:pPr>
              <w:jc w:val="center"/>
              <w:rPr>
                <w:rFonts w:ascii="Verdana" w:hAnsi="Verdana"/>
                <w:sz w:val="16"/>
                <w:szCs w:val="16"/>
              </w:rPr>
            </w:pPr>
            <w:r w:rsidRPr="0075432F">
              <w:rPr>
                <w:rFonts w:ascii="Verdana" w:hAnsi="Verdana"/>
                <w:sz w:val="16"/>
              </w:rPr>
              <w:t>2.</w:t>
            </w:r>
          </w:p>
        </w:tc>
        <w:tc>
          <w:tcPr>
            <w:tcW w:w="2524" w:type="dxa"/>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Nevēlamas vielas metanolā</w:t>
            </w:r>
          </w:p>
        </w:tc>
        <w:tc>
          <w:tcPr>
            <w:tcW w:w="1870" w:type="dxa"/>
            <w:tcMar>
              <w:top w:w="85" w:type="dxa"/>
              <w:bottom w:w="85" w:type="dxa"/>
            </w:tcMar>
          </w:tcPr>
          <w:p w:rsidR="00DC7DEC" w:rsidRPr="0075432F" w:rsidRDefault="00DC7DEC" w:rsidP="00861F33">
            <w:pPr>
              <w:rPr>
                <w:rFonts w:ascii="Verdana" w:hAnsi="Verdana"/>
                <w:sz w:val="16"/>
                <w:szCs w:val="16"/>
              </w:rPr>
            </w:pPr>
          </w:p>
        </w:tc>
        <w:tc>
          <w:tcPr>
            <w:tcW w:w="2551" w:type="dxa"/>
            <w:tcMar>
              <w:top w:w="85" w:type="dxa"/>
              <w:bottom w:w="85" w:type="dxa"/>
            </w:tcMar>
          </w:tcPr>
          <w:p w:rsidR="00DC7DEC" w:rsidRPr="0075432F" w:rsidRDefault="00DC7DEC" w:rsidP="00861F33">
            <w:pPr>
              <w:widowControl w:val="0"/>
              <w:rPr>
                <w:rFonts w:ascii="Verdana" w:hAnsi="Verdana"/>
                <w:iCs/>
                <w:sz w:val="16"/>
                <w:szCs w:val="16"/>
              </w:rPr>
            </w:pPr>
            <w:r w:rsidRPr="0075432F">
              <w:rPr>
                <w:rFonts w:ascii="Verdana" w:hAnsi="Verdana"/>
                <w:sz w:val="16"/>
              </w:rPr>
              <w:t xml:space="preserve">Jāizmanto piemērotas kvalitātes metanols. </w:t>
            </w:r>
          </w:p>
          <w:p w:rsidR="00DC7DEC" w:rsidRPr="0075432F" w:rsidRDefault="00DC7DEC" w:rsidP="00861F33">
            <w:pPr>
              <w:widowControl w:val="0"/>
              <w:rPr>
                <w:rFonts w:ascii="Verdana" w:hAnsi="Verdana"/>
                <w:iCs/>
                <w:sz w:val="16"/>
                <w:szCs w:val="16"/>
              </w:rPr>
            </w:pPr>
          </w:p>
          <w:p w:rsidR="00DC7DEC" w:rsidRPr="0075432F" w:rsidRDefault="00DC7DEC" w:rsidP="00861F33">
            <w:pPr>
              <w:widowControl w:val="0"/>
              <w:rPr>
                <w:rFonts w:ascii="Verdana" w:hAnsi="Verdana"/>
                <w:iCs/>
                <w:sz w:val="16"/>
                <w:szCs w:val="16"/>
              </w:rPr>
            </w:pPr>
            <w:r w:rsidRPr="0075432F">
              <w:rPr>
                <w:rFonts w:ascii="Verdana" w:hAnsi="Verdana"/>
                <w:sz w:val="16"/>
              </w:rPr>
              <w:t>Jāīsteno līguma specifikācijā aprakstītie pasākumi.</w:t>
            </w:r>
          </w:p>
          <w:p w:rsidR="00DC7DEC" w:rsidRPr="0075432F" w:rsidRDefault="00DC7DEC" w:rsidP="00861F33">
            <w:pPr>
              <w:widowControl w:val="0"/>
              <w:rPr>
                <w:rFonts w:ascii="Verdana" w:hAnsi="Verdana"/>
                <w:iCs/>
                <w:sz w:val="16"/>
                <w:szCs w:val="16"/>
              </w:rPr>
            </w:pPr>
          </w:p>
          <w:p w:rsidR="00DC7DEC" w:rsidRPr="0075432F" w:rsidRDefault="00DC7DEC" w:rsidP="00861F33">
            <w:pPr>
              <w:widowControl w:val="0"/>
              <w:rPr>
                <w:rFonts w:ascii="Verdana" w:hAnsi="Verdana"/>
                <w:iCs/>
                <w:sz w:val="16"/>
                <w:szCs w:val="16"/>
              </w:rPr>
            </w:pPr>
            <w:r w:rsidRPr="0075432F">
              <w:rPr>
                <w:rFonts w:ascii="Verdana" w:hAnsi="Verdana"/>
                <w:sz w:val="16"/>
              </w:rPr>
              <w:t>Jāīsteno procesa pārraudzība uz vietas, pareizi jāmarķē ķīmisko vielu konteineri.</w:t>
            </w:r>
          </w:p>
        </w:tc>
        <w:tc>
          <w:tcPr>
            <w:tcW w:w="2127" w:type="dxa"/>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Ļoti maza apjoma operācijās darbības ar bīstamām ķīmiskām vielām var radīt lielāku risku operatoram, ja šīs ķīmiskās vielas tiek pārvietotas manuāli un izmantotas periodiskā procesā, nevis automatizētā sistēmā.</w:t>
            </w:r>
          </w:p>
          <w:p w:rsidR="00DC7DEC" w:rsidRPr="0075432F" w:rsidRDefault="00DC7DEC" w:rsidP="00861F33">
            <w:pPr>
              <w:widowControl w:val="0"/>
              <w:rPr>
                <w:rFonts w:ascii="Verdana" w:hAnsi="Verdana"/>
                <w:sz w:val="16"/>
                <w:szCs w:val="16"/>
              </w:rPr>
            </w:pPr>
          </w:p>
        </w:tc>
      </w:tr>
      <w:tr w:rsidR="00851557" w:rsidRPr="0075432F" w:rsidTr="00861F33">
        <w:trPr>
          <w:trHeight w:val="151"/>
        </w:trPr>
        <w:tc>
          <w:tcPr>
            <w:tcW w:w="1856" w:type="dxa"/>
            <w:tcMar>
              <w:top w:w="85" w:type="dxa"/>
              <w:bottom w:w="85" w:type="dxa"/>
            </w:tcMar>
          </w:tcPr>
          <w:p w:rsidR="00851557" w:rsidRDefault="00851557" w:rsidP="00851557">
            <w:pPr>
              <w:rPr>
                <w:rFonts w:ascii="Verdana" w:hAnsi="Verdana"/>
                <w:b/>
                <w:sz w:val="16"/>
              </w:rPr>
            </w:pPr>
            <w:r>
              <w:rPr>
                <w:rFonts w:ascii="Verdana" w:hAnsi="Verdana"/>
                <w:b/>
                <w:sz w:val="16"/>
              </w:rPr>
              <w:t>Katalizatora</w:t>
            </w:r>
            <w:r w:rsidRPr="00851557">
              <w:rPr>
                <w:rFonts w:ascii="Verdana" w:hAnsi="Verdana"/>
                <w:b/>
                <w:sz w:val="16"/>
              </w:rPr>
              <w:t xml:space="preserve"> pievienošanas laikā radīts piesārņojums</w:t>
            </w:r>
          </w:p>
        </w:tc>
        <w:tc>
          <w:tcPr>
            <w:tcW w:w="636" w:type="dxa"/>
            <w:tcMar>
              <w:top w:w="85" w:type="dxa"/>
              <w:bottom w:w="85" w:type="dxa"/>
            </w:tcMar>
          </w:tcPr>
          <w:p w:rsidR="00851557" w:rsidRPr="0075432F" w:rsidRDefault="00851557" w:rsidP="00861F33">
            <w:pPr>
              <w:jc w:val="center"/>
              <w:rPr>
                <w:rFonts w:ascii="Verdana" w:hAnsi="Verdana"/>
                <w:sz w:val="16"/>
                <w:szCs w:val="16"/>
              </w:rPr>
            </w:pPr>
          </w:p>
        </w:tc>
        <w:tc>
          <w:tcPr>
            <w:tcW w:w="877" w:type="dxa"/>
            <w:tcMar>
              <w:top w:w="85" w:type="dxa"/>
              <w:bottom w:w="85" w:type="dxa"/>
            </w:tcMar>
          </w:tcPr>
          <w:p w:rsidR="00851557" w:rsidRPr="0075432F" w:rsidRDefault="00851557" w:rsidP="00861F33">
            <w:pPr>
              <w:jc w:val="center"/>
              <w:rPr>
                <w:rFonts w:ascii="Verdana" w:hAnsi="Verdana"/>
                <w:sz w:val="16"/>
              </w:rPr>
            </w:pPr>
            <w:r>
              <w:rPr>
                <w:rFonts w:ascii="Verdana" w:hAnsi="Verdana"/>
                <w:sz w:val="16"/>
              </w:rPr>
              <w:t>Maza</w:t>
            </w:r>
          </w:p>
        </w:tc>
        <w:tc>
          <w:tcPr>
            <w:tcW w:w="1417" w:type="dxa"/>
            <w:tcMar>
              <w:top w:w="85" w:type="dxa"/>
              <w:bottom w:w="85" w:type="dxa"/>
            </w:tcMar>
          </w:tcPr>
          <w:p w:rsidR="00851557" w:rsidRPr="0075432F" w:rsidRDefault="00F83C1C" w:rsidP="00861F33">
            <w:pPr>
              <w:jc w:val="center"/>
              <w:rPr>
                <w:rFonts w:ascii="Verdana" w:hAnsi="Verdana"/>
                <w:sz w:val="16"/>
              </w:rPr>
            </w:pPr>
            <w:r>
              <w:rPr>
                <w:rFonts w:ascii="Verdana" w:hAnsi="Verdana"/>
                <w:sz w:val="16"/>
              </w:rPr>
              <w:t>Vidē</w:t>
            </w:r>
            <w:r w:rsidR="00851557">
              <w:rPr>
                <w:rFonts w:ascii="Verdana" w:hAnsi="Verdana"/>
                <w:sz w:val="16"/>
              </w:rPr>
              <w:t>ja</w:t>
            </w:r>
          </w:p>
        </w:tc>
        <w:tc>
          <w:tcPr>
            <w:tcW w:w="851" w:type="dxa"/>
            <w:tcMar>
              <w:top w:w="85" w:type="dxa"/>
              <w:bottom w:w="85" w:type="dxa"/>
            </w:tcMar>
          </w:tcPr>
          <w:p w:rsidR="00851557" w:rsidRPr="0075432F" w:rsidRDefault="00851557" w:rsidP="00861F33">
            <w:pPr>
              <w:jc w:val="center"/>
              <w:rPr>
                <w:rFonts w:ascii="Verdana" w:hAnsi="Verdana"/>
                <w:sz w:val="16"/>
              </w:rPr>
            </w:pPr>
            <w:r>
              <w:rPr>
                <w:rFonts w:ascii="Verdana" w:hAnsi="Verdana"/>
                <w:sz w:val="16"/>
              </w:rPr>
              <w:t>2.</w:t>
            </w:r>
          </w:p>
        </w:tc>
        <w:tc>
          <w:tcPr>
            <w:tcW w:w="2524" w:type="dxa"/>
            <w:tcMar>
              <w:top w:w="85" w:type="dxa"/>
              <w:bottom w:w="85" w:type="dxa"/>
            </w:tcMar>
          </w:tcPr>
          <w:p w:rsidR="00851557" w:rsidRPr="0075432F" w:rsidRDefault="00851557" w:rsidP="00861F33">
            <w:pPr>
              <w:rPr>
                <w:rFonts w:ascii="Verdana" w:hAnsi="Verdana"/>
                <w:sz w:val="16"/>
              </w:rPr>
            </w:pPr>
            <w:r>
              <w:rPr>
                <w:rFonts w:ascii="Verdana" w:hAnsi="Verdana"/>
                <w:sz w:val="16"/>
              </w:rPr>
              <w:t>Nevēlamas vielas katalizatorā</w:t>
            </w:r>
          </w:p>
        </w:tc>
        <w:tc>
          <w:tcPr>
            <w:tcW w:w="1870" w:type="dxa"/>
            <w:tcMar>
              <w:top w:w="85" w:type="dxa"/>
              <w:bottom w:w="85" w:type="dxa"/>
            </w:tcMar>
          </w:tcPr>
          <w:p w:rsidR="00851557" w:rsidRPr="0075432F" w:rsidRDefault="00851557" w:rsidP="00861F33">
            <w:pPr>
              <w:rPr>
                <w:rFonts w:ascii="Verdana" w:hAnsi="Verdana"/>
                <w:sz w:val="16"/>
                <w:szCs w:val="16"/>
              </w:rPr>
            </w:pPr>
          </w:p>
        </w:tc>
        <w:tc>
          <w:tcPr>
            <w:tcW w:w="2551" w:type="dxa"/>
            <w:tcMar>
              <w:top w:w="85" w:type="dxa"/>
              <w:bottom w:w="85" w:type="dxa"/>
            </w:tcMar>
          </w:tcPr>
          <w:p w:rsidR="00851557" w:rsidRPr="00851557" w:rsidRDefault="00851557" w:rsidP="00851557">
            <w:pPr>
              <w:widowControl w:val="0"/>
              <w:rPr>
                <w:rFonts w:ascii="Verdana" w:hAnsi="Verdana"/>
                <w:sz w:val="16"/>
              </w:rPr>
            </w:pPr>
            <w:r w:rsidRPr="00851557">
              <w:rPr>
                <w:rFonts w:ascii="Verdana" w:hAnsi="Verdana"/>
                <w:sz w:val="16"/>
              </w:rPr>
              <w:t xml:space="preserve">Jāizmanto piemērotas kvalitātes </w:t>
            </w:r>
            <w:r>
              <w:rPr>
                <w:rFonts w:ascii="Verdana" w:hAnsi="Verdana"/>
                <w:sz w:val="16"/>
              </w:rPr>
              <w:t>katalizators</w:t>
            </w:r>
            <w:r w:rsidRPr="00851557">
              <w:rPr>
                <w:rFonts w:ascii="Verdana" w:hAnsi="Verdana"/>
                <w:sz w:val="16"/>
              </w:rPr>
              <w:t xml:space="preserve">. </w:t>
            </w:r>
          </w:p>
          <w:p w:rsidR="00851557" w:rsidRPr="00851557" w:rsidRDefault="00851557" w:rsidP="00851557">
            <w:pPr>
              <w:widowControl w:val="0"/>
              <w:rPr>
                <w:rFonts w:ascii="Verdana" w:hAnsi="Verdana"/>
                <w:sz w:val="16"/>
              </w:rPr>
            </w:pPr>
          </w:p>
          <w:p w:rsidR="00851557" w:rsidRPr="00851557" w:rsidRDefault="00851557" w:rsidP="00851557">
            <w:pPr>
              <w:widowControl w:val="0"/>
              <w:rPr>
                <w:rFonts w:ascii="Verdana" w:hAnsi="Verdana"/>
                <w:sz w:val="16"/>
              </w:rPr>
            </w:pPr>
            <w:r w:rsidRPr="00851557">
              <w:rPr>
                <w:rFonts w:ascii="Verdana" w:hAnsi="Verdana"/>
                <w:sz w:val="16"/>
              </w:rPr>
              <w:t>Jāīsteno līguma specifikācijā aprakstītie pasākumi.</w:t>
            </w:r>
          </w:p>
          <w:p w:rsidR="00851557" w:rsidRPr="00851557" w:rsidRDefault="00851557" w:rsidP="00851557">
            <w:pPr>
              <w:widowControl w:val="0"/>
              <w:rPr>
                <w:rFonts w:ascii="Verdana" w:hAnsi="Verdana"/>
                <w:sz w:val="16"/>
              </w:rPr>
            </w:pPr>
          </w:p>
          <w:p w:rsidR="00851557" w:rsidRPr="0075432F" w:rsidRDefault="00851557" w:rsidP="00851557">
            <w:pPr>
              <w:widowControl w:val="0"/>
              <w:rPr>
                <w:rFonts w:ascii="Verdana" w:hAnsi="Verdana"/>
                <w:sz w:val="16"/>
              </w:rPr>
            </w:pPr>
            <w:r w:rsidRPr="00851557">
              <w:rPr>
                <w:rFonts w:ascii="Verdana" w:hAnsi="Verdana"/>
                <w:sz w:val="16"/>
              </w:rPr>
              <w:t>Jāīsteno procesa pārraudzība uz vietas, pareizi jāmarķē ķīmisko vielu konteineri</w:t>
            </w:r>
          </w:p>
        </w:tc>
        <w:tc>
          <w:tcPr>
            <w:tcW w:w="2127" w:type="dxa"/>
            <w:tcMar>
              <w:top w:w="85" w:type="dxa"/>
              <w:bottom w:w="85" w:type="dxa"/>
            </w:tcMar>
          </w:tcPr>
          <w:p w:rsidR="00851557" w:rsidRPr="0075432F" w:rsidRDefault="00851557" w:rsidP="00861F33">
            <w:pPr>
              <w:rPr>
                <w:rFonts w:ascii="Verdana" w:hAnsi="Verdana"/>
                <w:sz w:val="16"/>
              </w:rPr>
            </w:pPr>
          </w:p>
        </w:tc>
      </w:tr>
    </w:tbl>
    <w:p w:rsidR="00DC7DEC" w:rsidRPr="0075432F" w:rsidRDefault="00DC7DEC" w:rsidP="00DC7DEC">
      <w:pPr>
        <w:rPr>
          <w:rFonts w:ascii="Verdana" w:hAnsi="Verdana"/>
          <w:sz w:val="14"/>
          <w:szCs w:val="14"/>
        </w:rPr>
      </w:pPr>
      <w:r w:rsidRPr="0075432F">
        <w:rPr>
          <w:rFonts w:ascii="Verdana" w:hAnsi="Verdana"/>
        </w:rPr>
        <w:br w:type="page"/>
      </w:r>
    </w:p>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642"/>
        <w:gridCol w:w="993"/>
        <w:gridCol w:w="1418"/>
        <w:gridCol w:w="850"/>
        <w:gridCol w:w="2410"/>
        <w:gridCol w:w="2268"/>
        <w:gridCol w:w="2126"/>
        <w:gridCol w:w="1985"/>
      </w:tblGrid>
      <w:tr w:rsidR="00DC7DEC" w:rsidRPr="0075432F" w:rsidTr="00861F33">
        <w:trPr>
          <w:trHeight w:val="482"/>
        </w:trPr>
        <w:tc>
          <w:tcPr>
            <w:tcW w:w="4928" w:type="dxa"/>
            <w:gridSpan w:val="4"/>
            <w:tcBorders>
              <w:bottom w:val="single" w:sz="4" w:space="0" w:color="auto"/>
            </w:tcBorders>
            <w:shd w:val="clear" w:color="auto" w:fill="0DA72A"/>
            <w:tcMar>
              <w:top w:w="57" w:type="dxa"/>
              <w:bottom w:w="57" w:type="dxa"/>
            </w:tcMar>
            <w:vAlign w:val="center"/>
          </w:tcPr>
          <w:p w:rsidR="00DC7DEC" w:rsidRPr="0075432F" w:rsidRDefault="00DC7DEC" w:rsidP="00861F33">
            <w:pPr>
              <w:widowControl w:val="0"/>
              <w:spacing w:before="20" w:after="20"/>
              <w:ind w:left="85" w:right="85"/>
              <w:rPr>
                <w:rFonts w:ascii="Verdana" w:hAnsi="Verdana"/>
                <w:b/>
                <w:color w:val="FFFFFF"/>
                <w:sz w:val="32"/>
                <w:szCs w:val="32"/>
              </w:rPr>
            </w:pPr>
            <w:r w:rsidRPr="0075432F">
              <w:rPr>
                <w:rFonts w:ascii="Verdana" w:hAnsi="Verdana"/>
                <w:b/>
                <w:color w:val="FFFFFF"/>
                <w:sz w:val="32"/>
              </w:rPr>
              <w:t>8. Uz riska izvērtēšanu balstīta pieeja attiecībā uz glicerīnu</w:t>
            </w:r>
          </w:p>
          <w:p w:rsidR="00DC7DEC" w:rsidRPr="0075432F" w:rsidRDefault="00DC7DEC" w:rsidP="00861F33">
            <w:pPr>
              <w:widowControl w:val="0"/>
              <w:spacing w:before="20" w:after="20"/>
              <w:jc w:val="right"/>
              <w:rPr>
                <w:rFonts w:ascii="Verdana" w:hAnsi="Verdana"/>
                <w:b/>
                <w:bCs/>
                <w:color w:val="FFFFFF"/>
                <w:sz w:val="28"/>
                <w:szCs w:val="28"/>
              </w:rPr>
            </w:pPr>
          </w:p>
        </w:tc>
        <w:tc>
          <w:tcPr>
            <w:tcW w:w="9639" w:type="dxa"/>
            <w:gridSpan w:val="5"/>
            <w:tcBorders>
              <w:left w:val="nil"/>
              <w:bottom w:val="single" w:sz="4" w:space="0" w:color="auto"/>
            </w:tcBorders>
            <w:shd w:val="clear" w:color="auto" w:fill="0DA72A"/>
            <w:tcMar>
              <w:top w:w="57" w:type="dxa"/>
              <w:bottom w:w="57" w:type="dxa"/>
            </w:tcMar>
            <w:vAlign w:val="center"/>
          </w:tcPr>
          <w:p w:rsidR="00DC7DEC" w:rsidRPr="0075432F" w:rsidRDefault="00DC7DEC" w:rsidP="00861F33">
            <w:pPr>
              <w:widowControl w:val="0"/>
              <w:rPr>
                <w:rFonts w:ascii="Verdana" w:hAnsi="Verdana"/>
                <w:b/>
                <w:color w:val="FFFFFF"/>
                <w:sz w:val="28"/>
                <w:szCs w:val="28"/>
              </w:rPr>
            </w:pPr>
            <w:r w:rsidRPr="0075432F">
              <w:rPr>
                <w:rFonts w:ascii="Verdana" w:hAnsi="Verdana"/>
                <w:b/>
                <w:color w:val="FFFFFF"/>
                <w:sz w:val="28"/>
              </w:rPr>
              <w:t>5. Otrais posms no trim: pāresterificēšana (atdalīšanas posms)</w:t>
            </w:r>
          </w:p>
        </w:tc>
      </w:tr>
      <w:tr w:rsidR="00DC7DEC" w:rsidRPr="0075432F" w:rsidTr="00861F33">
        <w:trPr>
          <w:trHeight w:val="993"/>
        </w:trPr>
        <w:tc>
          <w:tcPr>
            <w:tcW w:w="1875"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42"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993"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IESPĒJA</w:t>
            </w:r>
            <w:r w:rsidR="00373A06" w:rsidRPr="0075432F">
              <w:rPr>
                <w:rFonts w:ascii="Verdana" w:hAnsi="Verdana"/>
                <w:b/>
                <w:color w:val="FFFFFF"/>
                <w:sz w:val="14"/>
              </w:rPr>
              <w:softHyphen/>
            </w:r>
            <w:r w:rsidRPr="0075432F">
              <w:rPr>
                <w:rFonts w:ascii="Verdana" w:hAnsi="Verdana"/>
                <w:b/>
                <w:color w:val="FFFFFF"/>
                <w:sz w:val="14"/>
              </w:rPr>
              <w:t xml:space="preserve">MĪBA </w:t>
            </w:r>
          </w:p>
        </w:tc>
        <w:tc>
          <w:tcPr>
            <w:tcW w:w="141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NOPIETNĪBA </w:t>
            </w:r>
          </w:p>
        </w:tc>
        <w:tc>
          <w:tcPr>
            <w:tcW w:w="85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RISKA KLASE </w:t>
            </w:r>
          </w:p>
        </w:tc>
        <w:tc>
          <w:tcPr>
            <w:tcW w:w="241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226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TIESĪBU AKTI, NOZARES STANDARTI UN/VAI LĪGUMA NOTEIKUMI </w:t>
            </w:r>
          </w:p>
        </w:tc>
        <w:tc>
          <w:tcPr>
            <w:tcW w:w="2126"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r w:rsidR="000D3DB5" w:rsidRPr="0075432F">
              <w:rPr>
                <w:rFonts w:ascii="Verdana" w:hAnsi="Verdana"/>
                <w:b/>
                <w:color w:val="FFFFFF"/>
                <w:sz w:val="14"/>
              </w:rPr>
              <w:t xml:space="preserve"> </w:t>
            </w:r>
          </w:p>
        </w:tc>
        <w:tc>
          <w:tcPr>
            <w:tcW w:w="1985"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357"/>
        </w:trPr>
        <w:tc>
          <w:tcPr>
            <w:tcW w:w="1875" w:type="dxa"/>
            <w:tcMar>
              <w:top w:w="85" w:type="dxa"/>
              <w:bottom w:w="85" w:type="dxa"/>
            </w:tcMar>
          </w:tcPr>
          <w:p w:rsidR="00DC7DEC" w:rsidRPr="0075432F" w:rsidRDefault="00DC7DEC" w:rsidP="00861F33">
            <w:pPr>
              <w:widowControl w:val="0"/>
              <w:rPr>
                <w:rFonts w:ascii="Verdana" w:hAnsi="Verdana"/>
                <w:b/>
                <w:bCs/>
                <w:sz w:val="16"/>
                <w:szCs w:val="16"/>
              </w:rPr>
            </w:pPr>
          </w:p>
          <w:p w:rsidR="00DC7DEC" w:rsidRPr="0075432F" w:rsidRDefault="00DC7DEC" w:rsidP="00861F33">
            <w:pPr>
              <w:widowControl w:val="0"/>
              <w:rPr>
                <w:rFonts w:ascii="Verdana" w:hAnsi="Verdana"/>
                <w:b/>
                <w:bCs/>
                <w:sz w:val="16"/>
                <w:szCs w:val="16"/>
              </w:rPr>
            </w:pPr>
            <w:r w:rsidRPr="0075432F">
              <w:rPr>
                <w:rFonts w:ascii="Verdana" w:hAnsi="Verdana"/>
                <w:b/>
                <w:sz w:val="16"/>
              </w:rPr>
              <w:t>Glicerīnā palicis metilesteris</w:t>
            </w:r>
          </w:p>
        </w:tc>
        <w:tc>
          <w:tcPr>
            <w:tcW w:w="642" w:type="dxa"/>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93" w:type="dxa"/>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 Maza</w:t>
            </w:r>
          </w:p>
        </w:tc>
        <w:tc>
          <w:tcPr>
            <w:tcW w:w="1418" w:type="dxa"/>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p>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 3. </w:t>
            </w:r>
          </w:p>
        </w:tc>
        <w:tc>
          <w:tcPr>
            <w:tcW w:w="2410" w:type="dxa"/>
            <w:tcMar>
              <w:top w:w="85" w:type="dxa"/>
              <w:bottom w:w="85" w:type="dxa"/>
            </w:tcMar>
          </w:tcPr>
          <w:p w:rsidR="00DC7DEC" w:rsidRPr="0075432F" w:rsidRDefault="00DC7DEC" w:rsidP="00861F33">
            <w:pPr>
              <w:widowControl w:val="0"/>
              <w:rPr>
                <w:rFonts w:ascii="Verdana" w:hAnsi="Verdana"/>
                <w:sz w:val="16"/>
                <w:szCs w:val="16"/>
              </w:rPr>
            </w:pPr>
          </w:p>
          <w:p w:rsidR="00DC7DEC" w:rsidRPr="0075432F" w:rsidRDefault="00DC7DEC" w:rsidP="00861F33">
            <w:pPr>
              <w:widowControl w:val="0"/>
              <w:rPr>
                <w:rFonts w:ascii="Verdana" w:hAnsi="Verdana"/>
                <w:sz w:val="16"/>
                <w:szCs w:val="16"/>
              </w:rPr>
            </w:pPr>
            <w:r w:rsidRPr="0075432F">
              <w:rPr>
                <w:rFonts w:ascii="Verdana" w:hAnsi="Verdana"/>
                <w:sz w:val="16"/>
              </w:rPr>
              <w:t>Biodīzeļdegvielas atdalīšana no atvasinātajiem produktiem — 1. posms</w:t>
            </w:r>
          </w:p>
        </w:tc>
        <w:tc>
          <w:tcPr>
            <w:tcW w:w="2268" w:type="dxa"/>
            <w:tcMar>
              <w:top w:w="85" w:type="dxa"/>
              <w:bottom w:w="85" w:type="dxa"/>
            </w:tcMar>
          </w:tcPr>
          <w:p w:rsidR="00373A06" w:rsidRPr="0075432F" w:rsidRDefault="00373A06" w:rsidP="00861F33">
            <w:pPr>
              <w:widowControl w:val="0"/>
              <w:rPr>
                <w:rFonts w:ascii="Verdana" w:hAnsi="Verdana"/>
                <w:sz w:val="16"/>
              </w:rPr>
            </w:pPr>
          </w:p>
          <w:p w:rsidR="00DC7DEC" w:rsidRPr="0075432F" w:rsidRDefault="00DC7DEC" w:rsidP="000C3CE3">
            <w:pPr>
              <w:widowControl w:val="0"/>
              <w:rPr>
                <w:rFonts w:ascii="Verdana" w:hAnsi="Verdana"/>
                <w:sz w:val="16"/>
                <w:szCs w:val="16"/>
              </w:rPr>
            </w:pPr>
            <w:r w:rsidRPr="0075432F">
              <w:rPr>
                <w:rFonts w:ascii="Verdana" w:hAnsi="Verdana"/>
                <w:sz w:val="16"/>
              </w:rPr>
              <w:t>Regulā (ES) Nr. 68/20</w:t>
            </w:r>
            <w:r w:rsidR="00A12E2F">
              <w:rPr>
                <w:rFonts w:ascii="Verdana" w:hAnsi="Verdana"/>
                <w:sz w:val="16"/>
              </w:rPr>
              <w:t>1</w:t>
            </w:r>
            <w:r w:rsidR="000C3CE3">
              <w:rPr>
                <w:rFonts w:ascii="Verdana" w:hAnsi="Verdana"/>
                <w:sz w:val="16"/>
              </w:rPr>
              <w:t xml:space="preserve">3 norādīts: “Var saturēt līdz </w:t>
            </w:r>
            <w:r w:rsidRPr="0075432F">
              <w:rPr>
                <w:rFonts w:ascii="Verdana" w:hAnsi="Verdana"/>
                <w:sz w:val="16"/>
              </w:rPr>
              <w:t xml:space="preserve">4 % </w:t>
            </w:r>
            <w:r w:rsidRPr="0075432F">
              <w:rPr>
                <w:rFonts w:ascii="Verdana" w:hAnsi="Verdana"/>
                <w:i/>
                <w:sz w:val="16"/>
              </w:rPr>
              <w:t>MONG</w:t>
            </w:r>
            <w:r w:rsidRPr="0075432F">
              <w:rPr>
                <w:rFonts w:ascii="Verdana" w:hAnsi="Verdana"/>
                <w:sz w:val="16"/>
              </w:rPr>
              <w:t xml:space="preserve"> (</w:t>
            </w:r>
            <w:r w:rsidRPr="0075432F">
              <w:rPr>
                <w:rFonts w:ascii="Verdana" w:hAnsi="Verdana"/>
                <w:i/>
                <w:sz w:val="16"/>
              </w:rPr>
              <w:t>Matter Organic Non Glycerol</w:t>
            </w:r>
            <w:r w:rsidRPr="0075432F">
              <w:rPr>
                <w:rFonts w:ascii="Verdana" w:hAnsi="Verdana"/>
                <w:sz w:val="16"/>
              </w:rPr>
              <w:t>), ietverot taukskābju metilesteru</w:t>
            </w:r>
            <w:r w:rsidR="000C3CE3">
              <w:rPr>
                <w:rFonts w:ascii="Verdana" w:hAnsi="Verdana"/>
                <w:sz w:val="16"/>
              </w:rPr>
              <w:t>s, taukskābju etilesterus, brīvā</w:t>
            </w:r>
            <w:r w:rsidRPr="0075432F">
              <w:rPr>
                <w:rFonts w:ascii="Verdana" w:hAnsi="Verdana"/>
                <w:sz w:val="16"/>
              </w:rPr>
              <w:t>s taukskābes un glicerīdus.”</w:t>
            </w:r>
          </w:p>
        </w:tc>
        <w:tc>
          <w:tcPr>
            <w:tcW w:w="2126" w:type="dxa"/>
            <w:tcMar>
              <w:top w:w="85" w:type="dxa"/>
              <w:bottom w:w="85" w:type="dxa"/>
            </w:tcMar>
          </w:tcPr>
          <w:p w:rsidR="00DC7DEC" w:rsidRPr="0075432F" w:rsidRDefault="00DC7DEC" w:rsidP="00861F33">
            <w:pPr>
              <w:rPr>
                <w:rFonts w:ascii="Verdana" w:hAnsi="Verdana"/>
                <w:sz w:val="16"/>
                <w:szCs w:val="16"/>
              </w:rPr>
            </w:pPr>
          </w:p>
          <w:p w:rsidR="00DC7DEC" w:rsidRPr="0075432F" w:rsidRDefault="00DC7DEC" w:rsidP="00861F33">
            <w:pPr>
              <w:rPr>
                <w:rFonts w:ascii="Verdana" w:hAnsi="Verdana"/>
                <w:sz w:val="16"/>
                <w:szCs w:val="16"/>
              </w:rPr>
            </w:pPr>
            <w:r w:rsidRPr="0075432F">
              <w:rPr>
                <w:rFonts w:ascii="Verdana" w:hAnsi="Verdana"/>
                <w:sz w:val="16"/>
              </w:rPr>
              <w:t>Pārraudzības plāns un procesa pēckontrole</w:t>
            </w:r>
          </w:p>
        </w:tc>
        <w:tc>
          <w:tcPr>
            <w:tcW w:w="1985" w:type="dxa"/>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357"/>
        </w:trPr>
        <w:tc>
          <w:tcPr>
            <w:tcW w:w="1875" w:type="dxa"/>
            <w:tcBorders>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Metanols neattīrītā glicerīnā</w:t>
            </w:r>
          </w:p>
        </w:tc>
        <w:tc>
          <w:tcPr>
            <w:tcW w:w="642"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93"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1418"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bottom w:val="single" w:sz="4" w:space="0" w:color="auto"/>
            </w:tcBorders>
            <w:shd w:val="clear" w:color="auto" w:fill="FF0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4.</w:t>
            </w:r>
          </w:p>
        </w:tc>
        <w:tc>
          <w:tcPr>
            <w:tcW w:w="2410"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268"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Regulā (ES) Nr. 68/2013 norādīts: “Var saturēt līdz 0,5 % metanola.”</w:t>
            </w:r>
          </w:p>
        </w:tc>
        <w:tc>
          <w:tcPr>
            <w:tcW w:w="2126" w:type="dxa"/>
            <w:tcBorders>
              <w:bottom w:val="single" w:sz="4" w:space="0" w:color="auto"/>
            </w:tcBorders>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Kontrolē ar procesa parametriem.</w:t>
            </w:r>
          </w:p>
        </w:tc>
        <w:tc>
          <w:tcPr>
            <w:tcW w:w="1985"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bl>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r w:rsidRPr="0075432F">
        <w:rPr>
          <w:rFonts w:ascii="Verdana" w:hAnsi="Verdana"/>
        </w:rPr>
        <w:br w:type="page"/>
      </w:r>
    </w:p>
    <w:p w:rsidR="00DC7DEC" w:rsidRPr="0075432F" w:rsidRDefault="00DC7DEC" w:rsidP="00DC7DEC">
      <w:pPr>
        <w:rPr>
          <w:rFonts w:ascii="Verdana" w:hAnsi="Verdan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972"/>
        <w:gridCol w:w="1418"/>
        <w:gridCol w:w="850"/>
        <w:gridCol w:w="2301"/>
        <w:gridCol w:w="1952"/>
        <w:gridCol w:w="1984"/>
        <w:gridCol w:w="2675"/>
        <w:gridCol w:w="19"/>
      </w:tblGrid>
      <w:tr w:rsidR="00DC7DEC" w:rsidRPr="0075432F" w:rsidTr="00861F33">
        <w:trPr>
          <w:gridAfter w:val="1"/>
          <w:wAfter w:w="19" w:type="dxa"/>
          <w:trHeight w:val="700"/>
        </w:trPr>
        <w:tc>
          <w:tcPr>
            <w:tcW w:w="4928" w:type="dxa"/>
            <w:gridSpan w:val="4"/>
            <w:tcBorders>
              <w:bottom w:val="single" w:sz="4" w:space="0" w:color="auto"/>
            </w:tcBorders>
            <w:shd w:val="clear" w:color="auto" w:fill="0DA72A"/>
            <w:tcMar>
              <w:top w:w="57" w:type="dxa"/>
              <w:bottom w:w="57" w:type="dxa"/>
            </w:tcMar>
            <w:vAlign w:val="center"/>
          </w:tcPr>
          <w:p w:rsidR="00DC7DEC" w:rsidRPr="0075432F" w:rsidRDefault="00DC7DEC" w:rsidP="00861F33">
            <w:pPr>
              <w:widowControl w:val="0"/>
              <w:spacing w:before="20" w:after="20"/>
              <w:ind w:left="85" w:right="85"/>
              <w:rPr>
                <w:rFonts w:ascii="Verdana" w:hAnsi="Verdana"/>
                <w:b/>
                <w:color w:val="FFFFFF"/>
                <w:sz w:val="32"/>
                <w:szCs w:val="32"/>
              </w:rPr>
            </w:pPr>
            <w:r w:rsidRPr="0075432F">
              <w:rPr>
                <w:rFonts w:ascii="Verdana" w:hAnsi="Verdana"/>
                <w:b/>
                <w:color w:val="FFFFFF"/>
                <w:sz w:val="32"/>
              </w:rPr>
              <w:t>8. Uz riska izvērtēšanu balstīta pieeja attiecībā uz glicerīnu</w:t>
            </w:r>
          </w:p>
          <w:p w:rsidR="00DC7DEC" w:rsidRPr="0075432F" w:rsidRDefault="00DC7DEC" w:rsidP="00861F33">
            <w:pPr>
              <w:widowControl w:val="0"/>
              <w:spacing w:before="20" w:after="20"/>
              <w:jc w:val="right"/>
              <w:rPr>
                <w:rFonts w:ascii="Verdana" w:hAnsi="Verdana"/>
                <w:b/>
                <w:bCs/>
                <w:color w:val="FFFFFF"/>
                <w:sz w:val="28"/>
                <w:szCs w:val="28"/>
              </w:rPr>
            </w:pPr>
          </w:p>
        </w:tc>
        <w:tc>
          <w:tcPr>
            <w:tcW w:w="9762" w:type="dxa"/>
            <w:gridSpan w:val="5"/>
            <w:tcBorders>
              <w:left w:val="nil"/>
              <w:bottom w:val="single" w:sz="4" w:space="0" w:color="auto"/>
            </w:tcBorders>
            <w:shd w:val="clear" w:color="auto" w:fill="0DA72A"/>
            <w:tcMar>
              <w:top w:w="57" w:type="dxa"/>
              <w:bottom w:w="57" w:type="dxa"/>
            </w:tcMar>
            <w:vAlign w:val="center"/>
          </w:tcPr>
          <w:p w:rsidR="00DC7DEC" w:rsidRPr="0075432F" w:rsidRDefault="00DC7DEC" w:rsidP="00861F33">
            <w:pPr>
              <w:widowControl w:val="0"/>
              <w:rPr>
                <w:rFonts w:ascii="Verdana" w:hAnsi="Verdana"/>
                <w:b/>
                <w:color w:val="FFFFFF"/>
                <w:sz w:val="28"/>
                <w:szCs w:val="28"/>
              </w:rPr>
            </w:pPr>
            <w:r w:rsidRPr="0075432F">
              <w:rPr>
                <w:rFonts w:ascii="Verdana" w:hAnsi="Verdana"/>
                <w:b/>
                <w:color w:val="FFFFFF"/>
                <w:sz w:val="28"/>
              </w:rPr>
              <w:t>6. Trešais posms no trim: paskābināšana un BT atdalīšana</w:t>
            </w:r>
          </w:p>
        </w:tc>
      </w:tr>
      <w:tr w:rsidR="00DC7DEC" w:rsidRPr="0075432F" w:rsidTr="00861F33">
        <w:trPr>
          <w:trHeight w:val="813"/>
        </w:trPr>
        <w:tc>
          <w:tcPr>
            <w:tcW w:w="189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4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972"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IESPĒJA</w:t>
            </w:r>
            <w:r w:rsidR="00373A06" w:rsidRPr="0075432F">
              <w:rPr>
                <w:rFonts w:ascii="Verdana" w:hAnsi="Verdana"/>
                <w:b/>
                <w:color w:val="FFFFFF"/>
                <w:sz w:val="14"/>
              </w:rPr>
              <w:softHyphen/>
            </w:r>
            <w:r w:rsidRPr="0075432F">
              <w:rPr>
                <w:rFonts w:ascii="Verdana" w:hAnsi="Verdana"/>
                <w:b/>
                <w:color w:val="FFFFFF"/>
                <w:sz w:val="14"/>
              </w:rPr>
              <w:t xml:space="preserve">MĪBA </w:t>
            </w:r>
          </w:p>
        </w:tc>
        <w:tc>
          <w:tcPr>
            <w:tcW w:w="141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NOPIETNĪBA </w:t>
            </w:r>
          </w:p>
        </w:tc>
        <w:tc>
          <w:tcPr>
            <w:tcW w:w="85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RISKA KLASE </w:t>
            </w:r>
          </w:p>
        </w:tc>
        <w:tc>
          <w:tcPr>
            <w:tcW w:w="2301"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1952" w:type="dxa"/>
            <w:tcBorders>
              <w:bottom w:val="single" w:sz="4" w:space="0" w:color="auto"/>
            </w:tcBorders>
            <w:shd w:val="clear" w:color="auto" w:fill="0DA72A"/>
            <w:tcMar>
              <w:top w:w="28" w:type="dxa"/>
              <w:bottom w:w="28" w:type="dxa"/>
            </w:tcMar>
            <w:vAlign w:val="center"/>
          </w:tcPr>
          <w:p w:rsidR="00DC7DEC" w:rsidRPr="0075432F" w:rsidRDefault="00DC7DEC" w:rsidP="00373A06">
            <w:pPr>
              <w:widowControl w:val="0"/>
              <w:spacing w:before="20" w:after="20"/>
              <w:jc w:val="center"/>
              <w:rPr>
                <w:rFonts w:ascii="Verdana" w:hAnsi="Verdana"/>
                <w:b/>
                <w:bCs/>
                <w:color w:val="FFFFFF"/>
                <w:sz w:val="14"/>
                <w:szCs w:val="14"/>
              </w:rPr>
            </w:pPr>
            <w:r w:rsidRPr="0075432F">
              <w:rPr>
                <w:rFonts w:ascii="Verdana" w:hAnsi="Verdana"/>
                <w:b/>
                <w:color w:val="FFFFFF"/>
                <w:sz w:val="14"/>
              </w:rPr>
              <w:t>TIESĪBU AKTI, NOZARES STANDARTI</w:t>
            </w:r>
          </w:p>
        </w:tc>
        <w:tc>
          <w:tcPr>
            <w:tcW w:w="1984"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r w:rsidR="000D3DB5" w:rsidRPr="0075432F">
              <w:rPr>
                <w:rFonts w:ascii="Verdana" w:hAnsi="Verdana"/>
                <w:b/>
                <w:color w:val="FFFFFF"/>
                <w:sz w:val="14"/>
              </w:rPr>
              <w:t xml:space="preserve"> </w:t>
            </w:r>
          </w:p>
        </w:tc>
        <w:tc>
          <w:tcPr>
            <w:tcW w:w="2694" w:type="dxa"/>
            <w:gridSpan w:val="2"/>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1035"/>
        </w:trPr>
        <w:tc>
          <w:tcPr>
            <w:tcW w:w="1890" w:type="dxa"/>
            <w:tcBorders>
              <w:bottom w:val="single" w:sz="4" w:space="0" w:color="auto"/>
            </w:tcBorders>
            <w:tcMar>
              <w:top w:w="85" w:type="dxa"/>
              <w:bottom w:w="85" w:type="dxa"/>
            </w:tcMar>
          </w:tcPr>
          <w:p w:rsidR="00DC7DEC" w:rsidRPr="0075432F" w:rsidRDefault="00DC7DEC" w:rsidP="00373A06">
            <w:pPr>
              <w:widowControl w:val="0"/>
              <w:rPr>
                <w:rFonts w:ascii="Verdana" w:hAnsi="Verdana"/>
                <w:b/>
                <w:bCs/>
                <w:sz w:val="16"/>
                <w:szCs w:val="16"/>
              </w:rPr>
            </w:pPr>
            <w:r w:rsidRPr="0075432F">
              <w:rPr>
                <w:rFonts w:ascii="Verdana" w:hAnsi="Verdana"/>
                <w:b/>
                <w:sz w:val="16"/>
              </w:rPr>
              <w:t>Piesārņotāji pārstrādes palīglīdzekļos</w:t>
            </w:r>
            <w:r w:rsidR="00373A06" w:rsidRPr="0075432F">
              <w:rPr>
                <w:rFonts w:ascii="Verdana" w:hAnsi="Verdana"/>
                <w:b/>
                <w:sz w:val="16"/>
              </w:rPr>
              <w:t xml:space="preserve"> </w:t>
            </w:r>
            <w:r w:rsidRPr="0075432F">
              <w:rPr>
                <w:rFonts w:ascii="Verdana" w:hAnsi="Verdana"/>
                <w:b/>
                <w:sz w:val="16"/>
              </w:rPr>
              <w:t>(sārma šķīdums, skābes)</w:t>
            </w:r>
          </w:p>
        </w:tc>
        <w:tc>
          <w:tcPr>
            <w:tcW w:w="648"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2"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301"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Pārstrādes palīglīdzekļi nonāk saskarē ar produktu.</w:t>
            </w:r>
          </w:p>
          <w:p w:rsidR="00DC7DEC" w:rsidRPr="0075432F" w:rsidRDefault="00DC7DEC" w:rsidP="00861F33">
            <w:pPr>
              <w:widowControl w:val="0"/>
              <w:rPr>
                <w:rFonts w:ascii="Verdana" w:hAnsi="Verdana"/>
                <w:sz w:val="16"/>
                <w:szCs w:val="16"/>
              </w:rPr>
            </w:pPr>
          </w:p>
          <w:p w:rsidR="00DC7DEC" w:rsidRPr="0075432F" w:rsidRDefault="00DC7DEC" w:rsidP="00861F33">
            <w:pPr>
              <w:widowControl w:val="0"/>
              <w:rPr>
                <w:rFonts w:ascii="Verdana" w:hAnsi="Verdana"/>
                <w:sz w:val="16"/>
                <w:szCs w:val="16"/>
              </w:rPr>
            </w:pPr>
            <w:r w:rsidRPr="0075432F">
              <w:rPr>
                <w:rFonts w:ascii="Verdana" w:hAnsi="Verdana"/>
                <w:sz w:val="16"/>
              </w:rPr>
              <w:t>Pastāv pārdozēšanas risks.</w:t>
            </w:r>
          </w:p>
          <w:p w:rsidR="00DC7DEC" w:rsidRPr="0075432F" w:rsidRDefault="00DC7DEC" w:rsidP="00861F33">
            <w:pPr>
              <w:widowControl w:val="0"/>
              <w:rPr>
                <w:rFonts w:ascii="Verdana" w:hAnsi="Verdana"/>
                <w:sz w:val="16"/>
                <w:szCs w:val="16"/>
              </w:rPr>
            </w:pPr>
          </w:p>
        </w:tc>
        <w:tc>
          <w:tcPr>
            <w:tcW w:w="1952" w:type="dxa"/>
            <w:tcBorders>
              <w:bottom w:val="single" w:sz="4" w:space="0" w:color="auto"/>
            </w:tcBorders>
            <w:tcMar>
              <w:top w:w="85" w:type="dxa"/>
              <w:bottom w:w="85" w:type="dxa"/>
            </w:tcMar>
          </w:tcPr>
          <w:p w:rsidR="00DC7DEC" w:rsidRPr="0075432F" w:rsidRDefault="00DC7DEC" w:rsidP="00373A06">
            <w:pPr>
              <w:widowControl w:val="0"/>
              <w:rPr>
                <w:rFonts w:ascii="Verdana" w:hAnsi="Verdana"/>
                <w:sz w:val="16"/>
                <w:szCs w:val="16"/>
              </w:rPr>
            </w:pPr>
            <w:r w:rsidRPr="0075432F">
              <w:rPr>
                <w:rFonts w:ascii="Verdana" w:hAnsi="Verdana"/>
                <w:sz w:val="16"/>
              </w:rPr>
              <w:t>Regulā (ES) Nr. 68/2013 ir noteikts ražošanas procesā radīto vai pārstrādes palīglīdzekļu radīto ķīmisko piemaisījumu maksimālais saturs.</w:t>
            </w:r>
          </w:p>
        </w:tc>
        <w:tc>
          <w:tcPr>
            <w:tcW w:w="1984"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Jānovērtē pārstrādes palīglīdzekļi, kas nonāk tiešā saskarē ar eļļu, un jāīsteno piemēroti pasākumi, lai samazinātu risku līdz pieņemamam līmenim.</w:t>
            </w:r>
          </w:p>
          <w:p w:rsidR="00DC7DEC" w:rsidRPr="0075432F" w:rsidRDefault="00DC7DEC" w:rsidP="00861F33">
            <w:pPr>
              <w:widowControl w:val="0"/>
              <w:rPr>
                <w:rFonts w:ascii="Verdana" w:hAnsi="Verdana"/>
                <w:sz w:val="16"/>
                <w:szCs w:val="16"/>
              </w:rPr>
            </w:pPr>
            <w:r w:rsidRPr="0075432F">
              <w:rPr>
                <w:rFonts w:ascii="Verdana" w:hAnsi="Verdana"/>
                <w:sz w:val="16"/>
              </w:rPr>
              <w:t>Jāīsteno procesa pārraudzība uz vietas (jākontrolē patēriņa apjoms).</w:t>
            </w:r>
          </w:p>
        </w:tc>
        <w:tc>
          <w:tcPr>
            <w:tcW w:w="2694" w:type="dxa"/>
            <w:gridSpan w:val="2"/>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020"/>
        </w:trPr>
        <w:tc>
          <w:tcPr>
            <w:tcW w:w="1890" w:type="dxa"/>
            <w:tcMar>
              <w:top w:w="85" w:type="dxa"/>
              <w:bottom w:w="85" w:type="dxa"/>
            </w:tcMar>
          </w:tcPr>
          <w:p w:rsidR="00DC7DEC" w:rsidRPr="0075432F" w:rsidRDefault="00820A21" w:rsidP="00820A21">
            <w:pPr>
              <w:widowControl w:val="0"/>
              <w:rPr>
                <w:rFonts w:ascii="Verdana" w:hAnsi="Verdana"/>
                <w:sz w:val="16"/>
                <w:szCs w:val="16"/>
              </w:rPr>
            </w:pPr>
            <w:r>
              <w:rPr>
                <w:rFonts w:ascii="Verdana" w:hAnsi="Verdana"/>
                <w:b/>
                <w:sz w:val="16"/>
              </w:rPr>
              <w:t>Pesticīdu atliekas virs MAL</w:t>
            </w:r>
            <w:r w:rsidR="00DC7DEC" w:rsidRPr="0075432F">
              <w:rPr>
                <w:rFonts w:ascii="Verdana" w:hAnsi="Verdana"/>
                <w:b/>
                <w:sz w:val="16"/>
              </w:rPr>
              <w:t>, t. i., herbicīdu, insekticīdu, fungicīdu vai rodenticīdu atliekas virs M</w:t>
            </w:r>
            <w:r>
              <w:rPr>
                <w:rFonts w:ascii="Verdana" w:hAnsi="Verdana"/>
                <w:b/>
                <w:sz w:val="16"/>
              </w:rPr>
              <w:t>AL</w:t>
            </w:r>
          </w:p>
        </w:tc>
        <w:tc>
          <w:tcPr>
            <w:tcW w:w="648"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2"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850"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1.</w:t>
            </w:r>
          </w:p>
        </w:tc>
        <w:tc>
          <w:tcPr>
            <w:tcW w:w="2301" w:type="dxa"/>
            <w:tcMar>
              <w:top w:w="85" w:type="dxa"/>
              <w:bottom w:w="85" w:type="dxa"/>
            </w:tcMar>
          </w:tcPr>
          <w:p w:rsidR="00373A06" w:rsidRPr="0075432F" w:rsidRDefault="00DC7DEC" w:rsidP="00373A06">
            <w:pPr>
              <w:widowControl w:val="0"/>
              <w:rPr>
                <w:rFonts w:ascii="Verdana" w:hAnsi="Verdana"/>
                <w:sz w:val="16"/>
              </w:rPr>
            </w:pPr>
            <w:r w:rsidRPr="0075432F">
              <w:rPr>
                <w:rFonts w:ascii="Verdana" w:hAnsi="Verdana"/>
                <w:sz w:val="16"/>
              </w:rPr>
              <w:t>Regulāri pārraugot pesticīdu atliekas, ir konstatēts, ka atlieku līmenis nepārsniedz tiesību</w:t>
            </w:r>
            <w:r w:rsidR="00373A06" w:rsidRPr="0075432F">
              <w:rPr>
                <w:rFonts w:ascii="Verdana" w:hAnsi="Verdana"/>
                <w:sz w:val="16"/>
              </w:rPr>
              <w:t xml:space="preserve"> aktos noteiktās robežvērtības.</w:t>
            </w:r>
          </w:p>
          <w:p w:rsidR="00DC7DEC" w:rsidRPr="0075432F" w:rsidRDefault="00DC7DEC" w:rsidP="00373A06">
            <w:pPr>
              <w:widowControl w:val="0"/>
              <w:rPr>
                <w:rFonts w:ascii="Verdana" w:hAnsi="Verdana"/>
                <w:iCs/>
                <w:sz w:val="16"/>
                <w:szCs w:val="16"/>
              </w:rPr>
            </w:pPr>
            <w:r w:rsidRPr="0075432F">
              <w:rPr>
                <w:rFonts w:ascii="Verdana" w:hAnsi="Verdana"/>
                <w:sz w:val="16"/>
              </w:rPr>
              <w:t>Pesticīdi nekoncentrējas glicerīnā.</w:t>
            </w:r>
          </w:p>
        </w:tc>
        <w:tc>
          <w:tcPr>
            <w:tcW w:w="1952" w:type="dxa"/>
            <w:tcMar>
              <w:top w:w="85" w:type="dxa"/>
              <w:bottom w:w="85" w:type="dxa"/>
            </w:tcMar>
          </w:tcPr>
          <w:p w:rsidR="00DC7DEC" w:rsidRPr="0075432F" w:rsidRDefault="00DC7DEC" w:rsidP="00861F33">
            <w:pPr>
              <w:widowControl w:val="0"/>
              <w:rPr>
                <w:rFonts w:ascii="Verdana" w:hAnsi="Verdana"/>
                <w:iCs/>
                <w:sz w:val="16"/>
                <w:szCs w:val="16"/>
              </w:rPr>
            </w:pPr>
            <w:r w:rsidRPr="0075432F">
              <w:rPr>
                <w:rFonts w:ascii="Verdana" w:hAnsi="Verdana"/>
                <w:sz w:val="16"/>
              </w:rPr>
              <w:t xml:space="preserve">Regulā (EK) Nr. 396/2005 </w:t>
            </w:r>
            <w:r w:rsidR="00636578">
              <w:rPr>
                <w:rFonts w:ascii="Verdana" w:hAnsi="Verdana"/>
                <w:sz w:val="16"/>
              </w:rPr>
              <w:t xml:space="preserve"> </w:t>
            </w:r>
            <w:r w:rsidRPr="0075432F">
              <w:rPr>
                <w:rFonts w:ascii="Verdana" w:hAnsi="Verdana"/>
                <w:sz w:val="16"/>
              </w:rPr>
              <w:t xml:space="preserve">ir noteikti pesticīdu atlieku līmeņi. </w:t>
            </w:r>
          </w:p>
        </w:tc>
        <w:tc>
          <w:tcPr>
            <w:tcW w:w="1984" w:type="dxa"/>
            <w:tcMar>
              <w:top w:w="85" w:type="dxa"/>
              <w:bottom w:w="85" w:type="dxa"/>
            </w:tcMar>
          </w:tcPr>
          <w:p w:rsidR="00DC7DEC" w:rsidRPr="0075432F" w:rsidRDefault="00DC7DEC" w:rsidP="00861F33">
            <w:pPr>
              <w:widowControl w:val="0"/>
              <w:rPr>
                <w:rFonts w:ascii="Verdana" w:hAnsi="Verdana"/>
                <w:iCs/>
                <w:sz w:val="16"/>
                <w:szCs w:val="16"/>
              </w:rPr>
            </w:pPr>
          </w:p>
        </w:tc>
        <w:tc>
          <w:tcPr>
            <w:tcW w:w="2694" w:type="dxa"/>
            <w:gridSpan w:val="2"/>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805"/>
        </w:trPr>
        <w:tc>
          <w:tcPr>
            <w:tcW w:w="1890" w:type="dxa"/>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 xml:space="preserve">Sāls reģenerācijas procesā (glicerīna neitralizācijas laikā) radītais piesārņojums </w:t>
            </w:r>
          </w:p>
        </w:tc>
        <w:tc>
          <w:tcPr>
            <w:tcW w:w="648"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72"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850"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1.</w:t>
            </w:r>
          </w:p>
        </w:tc>
        <w:tc>
          <w:tcPr>
            <w:tcW w:w="2301" w:type="dxa"/>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NaCl (sāls) gandrīz vienmēr ir nevis ciets blakusprodukts, bet gan ir izšķīdis neattīrītajā glicerīnā.</w:t>
            </w:r>
          </w:p>
        </w:tc>
        <w:tc>
          <w:tcPr>
            <w:tcW w:w="1952" w:type="dxa"/>
            <w:tcMar>
              <w:top w:w="85" w:type="dxa"/>
              <w:bottom w:w="85" w:type="dxa"/>
            </w:tcMar>
          </w:tcPr>
          <w:p w:rsidR="00DC7DEC" w:rsidRPr="0075432F" w:rsidRDefault="00DC7DEC" w:rsidP="00861F33">
            <w:pPr>
              <w:widowControl w:val="0"/>
              <w:rPr>
                <w:rFonts w:ascii="Verdana" w:hAnsi="Verdana"/>
                <w:sz w:val="16"/>
                <w:szCs w:val="16"/>
              </w:rPr>
            </w:pPr>
          </w:p>
        </w:tc>
        <w:tc>
          <w:tcPr>
            <w:tcW w:w="1984" w:type="dxa"/>
            <w:tcMar>
              <w:top w:w="85" w:type="dxa"/>
              <w:bottom w:w="85" w:type="dxa"/>
            </w:tcMar>
          </w:tcPr>
          <w:p w:rsidR="00DC7DEC" w:rsidRPr="0075432F" w:rsidRDefault="00DC7DEC" w:rsidP="00861F33">
            <w:pPr>
              <w:widowControl w:val="0"/>
              <w:rPr>
                <w:rFonts w:ascii="Verdana" w:hAnsi="Verdana"/>
                <w:iCs/>
                <w:sz w:val="16"/>
                <w:szCs w:val="16"/>
              </w:rPr>
            </w:pPr>
          </w:p>
        </w:tc>
        <w:tc>
          <w:tcPr>
            <w:tcW w:w="2694" w:type="dxa"/>
            <w:gridSpan w:val="2"/>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Ir iespējams reģenerēt sāli, lai to izmantotu kā mēslojumu.</w:t>
            </w:r>
          </w:p>
        </w:tc>
      </w:tr>
      <w:tr w:rsidR="00DC7DEC" w:rsidRPr="0075432F" w:rsidTr="00861F33">
        <w:trPr>
          <w:trHeight w:val="1747"/>
        </w:trPr>
        <w:tc>
          <w:tcPr>
            <w:tcW w:w="1890" w:type="dxa"/>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lastRenderedPageBreak/>
              <w:t>Tauku ieguve — pareiza marķēšana</w:t>
            </w:r>
          </w:p>
          <w:p w:rsidR="00DC7DEC" w:rsidRPr="0075432F" w:rsidRDefault="00DC7DEC" w:rsidP="00861F33">
            <w:pPr>
              <w:widowControl w:val="0"/>
              <w:rPr>
                <w:rFonts w:ascii="Verdana" w:hAnsi="Verdana"/>
                <w:b/>
                <w:bCs/>
                <w:sz w:val="16"/>
                <w:szCs w:val="16"/>
              </w:rPr>
            </w:pPr>
          </w:p>
        </w:tc>
        <w:tc>
          <w:tcPr>
            <w:tcW w:w="648" w:type="dxa"/>
            <w:tcMar>
              <w:top w:w="85" w:type="dxa"/>
              <w:bottom w:w="85" w:type="dxa"/>
            </w:tcMar>
          </w:tcPr>
          <w:p w:rsidR="00DC7DEC" w:rsidRPr="0075432F" w:rsidRDefault="00DC7DEC" w:rsidP="00861F33">
            <w:pPr>
              <w:widowControl w:val="0"/>
              <w:jc w:val="center"/>
              <w:rPr>
                <w:rFonts w:ascii="Verdana" w:hAnsi="Verdana"/>
                <w:sz w:val="16"/>
                <w:szCs w:val="16"/>
              </w:rPr>
            </w:pPr>
          </w:p>
        </w:tc>
        <w:tc>
          <w:tcPr>
            <w:tcW w:w="972"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1418" w:type="dxa"/>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shd w:val="clear" w:color="auto" w:fill="FF0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4.</w:t>
            </w:r>
          </w:p>
        </w:tc>
        <w:tc>
          <w:tcPr>
            <w:tcW w:w="2301" w:type="dxa"/>
            <w:tcMar>
              <w:top w:w="85" w:type="dxa"/>
              <w:bottom w:w="85" w:type="dxa"/>
            </w:tcMar>
          </w:tcPr>
          <w:p w:rsidR="00DC7DEC" w:rsidRPr="0075432F" w:rsidRDefault="00DC7DEC" w:rsidP="00861F33">
            <w:pPr>
              <w:widowControl w:val="0"/>
              <w:rPr>
                <w:rFonts w:ascii="Verdana" w:hAnsi="Verdana"/>
                <w:sz w:val="16"/>
                <w:szCs w:val="16"/>
              </w:rPr>
            </w:pPr>
          </w:p>
        </w:tc>
        <w:tc>
          <w:tcPr>
            <w:tcW w:w="1952" w:type="dxa"/>
            <w:tcMar>
              <w:top w:w="85" w:type="dxa"/>
              <w:bottom w:w="85" w:type="dxa"/>
            </w:tcMar>
          </w:tcPr>
          <w:p w:rsidR="00DC7DEC" w:rsidRPr="0075432F" w:rsidRDefault="00DC7DEC" w:rsidP="00861F33">
            <w:pPr>
              <w:widowControl w:val="0"/>
              <w:rPr>
                <w:rFonts w:ascii="Verdana" w:hAnsi="Verdana"/>
                <w:sz w:val="16"/>
                <w:szCs w:val="16"/>
              </w:rPr>
            </w:pPr>
          </w:p>
        </w:tc>
        <w:tc>
          <w:tcPr>
            <w:tcW w:w="1984" w:type="dxa"/>
            <w:tcMar>
              <w:top w:w="85" w:type="dxa"/>
              <w:bottom w:w="85" w:type="dxa"/>
            </w:tcMar>
          </w:tcPr>
          <w:p w:rsidR="00DC7DEC" w:rsidRPr="0075432F" w:rsidRDefault="00DC7DEC" w:rsidP="00861F33">
            <w:pPr>
              <w:widowControl w:val="0"/>
              <w:rPr>
                <w:rFonts w:ascii="Verdana" w:hAnsi="Verdana"/>
                <w:iCs/>
                <w:sz w:val="16"/>
                <w:szCs w:val="16"/>
              </w:rPr>
            </w:pPr>
            <w:r w:rsidRPr="0075432F">
              <w:rPr>
                <w:rFonts w:ascii="Verdana" w:hAnsi="Verdana"/>
                <w:sz w:val="16"/>
              </w:rPr>
              <w:t>Ja taukus iegūst kā blakusproduktu, tauku marķējumā jānorāda: “nav barība / nav pārtika”, lai nodrošinātu, ka tie netiks izmantoti barības ražošanas nozarē.</w:t>
            </w:r>
          </w:p>
        </w:tc>
        <w:tc>
          <w:tcPr>
            <w:tcW w:w="2694" w:type="dxa"/>
            <w:gridSpan w:val="2"/>
            <w:tcMar>
              <w:top w:w="85" w:type="dxa"/>
              <w:bottom w:w="85" w:type="dxa"/>
            </w:tcMar>
          </w:tcPr>
          <w:p w:rsidR="00DC7DEC" w:rsidRPr="0075432F" w:rsidRDefault="00DC7DEC" w:rsidP="00861F33">
            <w:pPr>
              <w:rPr>
                <w:rFonts w:ascii="Verdana" w:hAnsi="Verdana"/>
                <w:sz w:val="16"/>
                <w:szCs w:val="16"/>
              </w:rPr>
            </w:pPr>
            <w:r w:rsidRPr="0075432F">
              <w:rPr>
                <w:rFonts w:ascii="Verdana" w:hAnsi="Verdana"/>
                <w:sz w:val="16"/>
              </w:rPr>
              <w:t>Taukskābes ar metilesteriem (tās sauc arī par taukiem), ko savāc pēc metanola reģenerācijas biodīzeļdegvielas ražošanas procesā, ir aizliegts izmantot barībā, jo biodīzeļdegvielas ražošanā izmantotās lipofīlās palīgvielas koncentrējas taukskābēs.</w:t>
            </w:r>
          </w:p>
          <w:p w:rsidR="00DC7DEC" w:rsidRPr="0075432F" w:rsidRDefault="00DC7DEC" w:rsidP="00861F33">
            <w:pPr>
              <w:rPr>
                <w:rFonts w:ascii="Verdana" w:hAnsi="Verdana"/>
                <w:sz w:val="16"/>
                <w:szCs w:val="16"/>
              </w:rPr>
            </w:pPr>
          </w:p>
        </w:tc>
      </w:tr>
    </w:tbl>
    <w:p w:rsidR="00DC7DEC" w:rsidRPr="0075432F" w:rsidRDefault="00DC7DEC" w:rsidP="00DC7DEC">
      <w:pPr>
        <w:rPr>
          <w:rFonts w:ascii="Verdana" w:hAnsi="Verdan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639"/>
        <w:gridCol w:w="865"/>
        <w:gridCol w:w="1417"/>
        <w:gridCol w:w="851"/>
        <w:gridCol w:w="2835"/>
        <w:gridCol w:w="1701"/>
        <w:gridCol w:w="2409"/>
        <w:gridCol w:w="2127"/>
      </w:tblGrid>
      <w:tr w:rsidR="00DC7DEC" w:rsidRPr="0075432F" w:rsidTr="00861F33">
        <w:trPr>
          <w:trHeight w:val="425"/>
        </w:trPr>
        <w:tc>
          <w:tcPr>
            <w:tcW w:w="4786" w:type="dxa"/>
            <w:gridSpan w:val="4"/>
            <w:tcBorders>
              <w:bottom w:val="single" w:sz="4" w:space="0" w:color="auto"/>
            </w:tcBorders>
            <w:shd w:val="clear" w:color="auto" w:fill="0DA72A"/>
            <w:tcMar>
              <w:top w:w="57" w:type="dxa"/>
              <w:bottom w:w="57" w:type="dxa"/>
            </w:tcMar>
            <w:vAlign w:val="center"/>
          </w:tcPr>
          <w:p w:rsidR="00DC7DEC" w:rsidRPr="0075432F" w:rsidRDefault="00DC7DEC" w:rsidP="00861F33">
            <w:pPr>
              <w:widowControl w:val="0"/>
              <w:spacing w:before="20" w:after="20"/>
              <w:ind w:left="85" w:right="85"/>
              <w:rPr>
                <w:rFonts w:ascii="Verdana" w:hAnsi="Verdana"/>
                <w:b/>
                <w:color w:val="FFFFFF"/>
                <w:sz w:val="32"/>
                <w:szCs w:val="32"/>
              </w:rPr>
            </w:pPr>
            <w:r w:rsidRPr="0075432F">
              <w:rPr>
                <w:rFonts w:ascii="Verdana" w:hAnsi="Verdana"/>
              </w:rPr>
              <w:br w:type="page"/>
            </w:r>
            <w:r w:rsidRPr="0075432F">
              <w:rPr>
                <w:rFonts w:ascii="Verdana" w:hAnsi="Verdana"/>
                <w:b/>
                <w:color w:val="FFFFFF"/>
                <w:sz w:val="32"/>
              </w:rPr>
              <w:t>8. Uz riska izvērtēšanu balstīta pieeja attiecībā uz glicerīnu</w:t>
            </w:r>
          </w:p>
          <w:p w:rsidR="00DC7DEC" w:rsidRPr="0075432F" w:rsidRDefault="00DC7DEC" w:rsidP="00861F33">
            <w:pPr>
              <w:widowControl w:val="0"/>
              <w:spacing w:before="20" w:after="20"/>
              <w:jc w:val="right"/>
              <w:rPr>
                <w:rFonts w:ascii="Verdana" w:hAnsi="Verdan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tcPr>
          <w:p w:rsidR="00DC7DEC" w:rsidRPr="0075432F" w:rsidRDefault="00DC7DEC" w:rsidP="00861F33">
            <w:pPr>
              <w:widowControl w:val="0"/>
              <w:spacing w:before="20" w:after="20"/>
              <w:ind w:left="85" w:right="85"/>
              <w:rPr>
                <w:rFonts w:ascii="Verdana" w:hAnsi="Verdana"/>
                <w:b/>
                <w:color w:val="FFFFFF"/>
                <w:sz w:val="28"/>
                <w:szCs w:val="28"/>
              </w:rPr>
            </w:pPr>
            <w:r w:rsidRPr="0075432F">
              <w:rPr>
                <w:rFonts w:ascii="Verdana" w:hAnsi="Verdana"/>
                <w:b/>
                <w:color w:val="FFFFFF"/>
                <w:sz w:val="28"/>
              </w:rPr>
              <w:t>7. Uzglabāšana</w:t>
            </w:r>
          </w:p>
        </w:tc>
      </w:tr>
      <w:tr w:rsidR="00DC7DEC" w:rsidRPr="0075432F" w:rsidTr="00861F33">
        <w:trPr>
          <w:trHeight w:val="531"/>
        </w:trPr>
        <w:tc>
          <w:tcPr>
            <w:tcW w:w="1865"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39"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865"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IESPĒ</w:t>
            </w:r>
            <w:r w:rsidR="009B2EAB" w:rsidRPr="0075432F">
              <w:rPr>
                <w:rFonts w:ascii="Verdana" w:hAnsi="Verdana"/>
                <w:b/>
                <w:color w:val="FFFFFF"/>
                <w:sz w:val="14"/>
              </w:rPr>
              <w:softHyphen/>
            </w:r>
            <w:r w:rsidRPr="0075432F">
              <w:rPr>
                <w:rFonts w:ascii="Verdana" w:hAnsi="Verdana"/>
                <w:b/>
                <w:color w:val="FFFFFF"/>
                <w:sz w:val="14"/>
              </w:rPr>
              <w:t xml:space="preserve">JAMĪBA </w:t>
            </w:r>
          </w:p>
        </w:tc>
        <w:tc>
          <w:tcPr>
            <w:tcW w:w="141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NOPIETNĪBA </w:t>
            </w:r>
          </w:p>
        </w:tc>
        <w:tc>
          <w:tcPr>
            <w:tcW w:w="851"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RISKA KLASE </w:t>
            </w:r>
          </w:p>
        </w:tc>
        <w:tc>
          <w:tcPr>
            <w:tcW w:w="2835"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1701"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TIESĪBU AKTI, NOZARES STANDARTI UN/VAI LĪGUMA NOTEIKUMI </w:t>
            </w:r>
          </w:p>
        </w:tc>
        <w:tc>
          <w:tcPr>
            <w:tcW w:w="2409" w:type="dxa"/>
            <w:tcBorders>
              <w:bottom w:val="single" w:sz="4" w:space="0" w:color="auto"/>
            </w:tcBorders>
            <w:shd w:val="clear" w:color="auto" w:fill="0DA72A"/>
            <w:tcMar>
              <w:top w:w="28" w:type="dxa"/>
              <w:bottom w:w="28" w:type="dxa"/>
            </w:tcMar>
            <w:vAlign w:val="center"/>
          </w:tcPr>
          <w:p w:rsidR="00DC7DEC" w:rsidRPr="0075432F" w:rsidRDefault="00DC7DEC" w:rsidP="009B2EAB">
            <w:pPr>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p>
        </w:tc>
        <w:tc>
          <w:tcPr>
            <w:tcW w:w="212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1015"/>
        </w:trPr>
        <w:tc>
          <w:tcPr>
            <w:tcW w:w="1865" w:type="dxa"/>
            <w:tcBorders>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 xml:space="preserve">Nenodalīšanas rezultātā radies piesārņojums </w:t>
            </w:r>
          </w:p>
        </w:tc>
        <w:tc>
          <w:tcPr>
            <w:tcW w:w="639"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865"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7"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1" w:type="dxa"/>
            <w:tcBorders>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835"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701"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409"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Jāievieš uzglabāšanas procedūras, lai samazinātu savstarpējas piesārņošanas risku. </w:t>
            </w:r>
          </w:p>
          <w:p w:rsidR="00DC7DEC" w:rsidRPr="0075432F" w:rsidRDefault="00DC7DEC" w:rsidP="00861F33">
            <w:pPr>
              <w:widowControl w:val="0"/>
              <w:rPr>
                <w:rFonts w:ascii="Verdana" w:hAnsi="Verdana"/>
                <w:sz w:val="16"/>
                <w:szCs w:val="16"/>
              </w:rPr>
            </w:pPr>
            <w:r w:rsidRPr="0075432F">
              <w:rPr>
                <w:rFonts w:ascii="Verdana" w:hAnsi="Verdana"/>
                <w:sz w:val="16"/>
              </w:rPr>
              <w:t>Jāizmanto speciālas tvertnes.</w:t>
            </w:r>
          </w:p>
        </w:tc>
        <w:tc>
          <w:tcPr>
            <w:tcW w:w="2127"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670"/>
        </w:trPr>
        <w:tc>
          <w:tcPr>
            <w:tcW w:w="1865" w:type="dxa"/>
            <w:tcBorders>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Piesārņojums ar tīrīšanas līdzekļiem</w:t>
            </w:r>
          </w:p>
        </w:tc>
        <w:tc>
          <w:tcPr>
            <w:tcW w:w="639"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865"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7"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 Vidēja</w:t>
            </w:r>
          </w:p>
        </w:tc>
        <w:tc>
          <w:tcPr>
            <w:tcW w:w="851"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835"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Šī riska klasifikācijas grupa attiecas uz termināļiem, kuros glabā gan ķīmiskās vielas, gan augu eļļas. Tajos, iespējams, netiek izmantoti tādi tīrīšanas līdzekļi, kas ir piemēroti izmantošanai pārtikas ražošanas nozarē. Eiropas Savienībā tvertņu termināļos, kuros īsteno </w:t>
            </w:r>
            <w:r w:rsidRPr="0075432F">
              <w:rPr>
                <w:rFonts w:ascii="Verdana" w:hAnsi="Verdana"/>
                <w:i/>
                <w:sz w:val="16"/>
              </w:rPr>
              <w:t>HACCP</w:t>
            </w:r>
            <w:r w:rsidRPr="0075432F">
              <w:rPr>
                <w:rFonts w:ascii="Verdana" w:hAnsi="Verdana"/>
                <w:sz w:val="16"/>
              </w:rPr>
              <w:t xml:space="preserve"> un kuros augu eļļas un ķīmiskās vielas uzglabā atsevišķi, ir ļoti maza iespējamība, ka tiks izmantoti nepareizi tīrīšanas līdzekļi.</w:t>
            </w:r>
          </w:p>
        </w:tc>
        <w:tc>
          <w:tcPr>
            <w:tcW w:w="1701"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409"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Jānovērtē izmantotie tīrīšanas līdzekļi un jāīsteno piemēroti pasākumi, lai samazinātu risku līdz pieņemamam līmenim. </w:t>
            </w:r>
          </w:p>
        </w:tc>
        <w:tc>
          <w:tcPr>
            <w:tcW w:w="2127"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305"/>
        </w:trPr>
        <w:tc>
          <w:tcPr>
            <w:tcW w:w="186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lastRenderedPageBreak/>
              <w:t>Apkures šķidrumi no bojāta aprīkojuma</w:t>
            </w:r>
          </w:p>
        </w:tc>
        <w:tc>
          <w:tcPr>
            <w:tcW w:w="639"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865"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7"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1"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Joprojām pastāv iespēja, ka tiek izmantoti toksiski apkures šķidrumi. Tomēr, tā kā noliktavā izmantotā apkures temperatūra ir salīdzinoši zema, iespējamība, ka apkures šķidrumi ieplūdīs produktā, ir maza.</w:t>
            </w:r>
          </w:p>
        </w:tc>
        <w:tc>
          <w:tcPr>
            <w:tcW w:w="170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409"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Ja tiek izmantoti apkures šķidrumi, uzglabāšanas uzņēmumam ir jāiesniedz dokumenti par tīrajiem zaudējumiem un attiecīga analīze vajadzības gadījumā. </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Ieteicams izmantot ūdens un tvaika apkuri. Apkures šķidrumi parasti netiek izmantoti.</w:t>
            </w:r>
          </w:p>
        </w:tc>
      </w:tr>
      <w:tr w:rsidR="00DC7DEC" w:rsidRPr="0075432F" w:rsidTr="00861F33">
        <w:trPr>
          <w:trHeight w:val="823"/>
        </w:trPr>
        <w:tc>
          <w:tcPr>
            <w:tcW w:w="186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Savstarpējs piesārņojums</w:t>
            </w:r>
          </w:p>
        </w:tc>
        <w:tc>
          <w:tcPr>
            <w:tcW w:w="639"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865"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1417"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851"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70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409"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Speciālas aprites ķēdes un uzglabāšanas tvertnes. Ir ieviesta uzglabāšanas procedūra.</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bl>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p>
    <w:p w:rsidR="00DC7DEC" w:rsidRPr="0075432F" w:rsidRDefault="00DC7DEC" w:rsidP="00DC7DEC">
      <w:pPr>
        <w:rPr>
          <w:rFonts w:ascii="Verdana" w:hAnsi="Verdan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86"/>
        <w:gridCol w:w="992"/>
        <w:gridCol w:w="1418"/>
        <w:gridCol w:w="850"/>
        <w:gridCol w:w="2268"/>
        <w:gridCol w:w="1843"/>
        <w:gridCol w:w="2551"/>
        <w:gridCol w:w="2127"/>
      </w:tblGrid>
      <w:tr w:rsidR="00DC7DEC" w:rsidRPr="0075432F" w:rsidTr="00861F33">
        <w:trPr>
          <w:trHeight w:val="925"/>
        </w:trPr>
        <w:tc>
          <w:tcPr>
            <w:tcW w:w="5070" w:type="dxa"/>
            <w:gridSpan w:val="4"/>
            <w:tcBorders>
              <w:bottom w:val="single" w:sz="4" w:space="0" w:color="auto"/>
            </w:tcBorders>
            <w:shd w:val="clear" w:color="auto" w:fill="0DA72A"/>
            <w:tcMar>
              <w:top w:w="57" w:type="dxa"/>
              <w:bottom w:w="57" w:type="dxa"/>
            </w:tcMar>
            <w:vAlign w:val="center"/>
          </w:tcPr>
          <w:p w:rsidR="00DC7DEC" w:rsidRPr="0075432F" w:rsidRDefault="00DC7DEC" w:rsidP="00861F33">
            <w:pPr>
              <w:widowControl w:val="0"/>
              <w:spacing w:before="20" w:after="20"/>
              <w:ind w:left="85" w:right="85"/>
              <w:rPr>
                <w:rFonts w:ascii="Verdana" w:hAnsi="Verdana"/>
                <w:b/>
                <w:bCs/>
                <w:color w:val="FFFFFF"/>
                <w:sz w:val="28"/>
                <w:szCs w:val="28"/>
              </w:rPr>
            </w:pPr>
            <w:r w:rsidRPr="0075432F">
              <w:rPr>
                <w:rFonts w:ascii="Verdana" w:hAnsi="Verdana"/>
                <w:b/>
                <w:color w:val="FFFFFF"/>
                <w:sz w:val="32"/>
              </w:rPr>
              <w:t>8. Uz riska izvērtēšanu balstīta pieeja attiecībā uz glicerīnu</w:t>
            </w:r>
          </w:p>
        </w:tc>
        <w:tc>
          <w:tcPr>
            <w:tcW w:w="9639" w:type="dxa"/>
            <w:gridSpan w:val="5"/>
            <w:tcBorders>
              <w:left w:val="nil"/>
              <w:bottom w:val="single" w:sz="4" w:space="0" w:color="auto"/>
            </w:tcBorders>
            <w:shd w:val="clear" w:color="auto" w:fill="0DA72A"/>
            <w:tcMar>
              <w:top w:w="57" w:type="dxa"/>
              <w:bottom w:w="57" w:type="dxa"/>
            </w:tcMar>
          </w:tcPr>
          <w:p w:rsidR="00DC7DEC" w:rsidRPr="0075432F" w:rsidRDefault="00DC7DEC" w:rsidP="00861F33">
            <w:pPr>
              <w:widowControl w:val="0"/>
              <w:spacing w:before="20" w:after="20"/>
              <w:ind w:left="85" w:right="85"/>
              <w:rPr>
                <w:rFonts w:ascii="Verdana" w:hAnsi="Verdana"/>
                <w:b/>
                <w:color w:val="FFFFFF"/>
                <w:sz w:val="28"/>
                <w:szCs w:val="28"/>
              </w:rPr>
            </w:pPr>
            <w:r w:rsidRPr="0075432F">
              <w:rPr>
                <w:rFonts w:ascii="Verdana" w:hAnsi="Verdana"/>
                <w:b/>
                <w:color w:val="FFFFFF"/>
                <w:sz w:val="28"/>
              </w:rPr>
              <w:t xml:space="preserve">8. Glicerīna transportēšana </w:t>
            </w:r>
          </w:p>
        </w:tc>
      </w:tr>
      <w:tr w:rsidR="00DC7DEC" w:rsidRPr="0075432F" w:rsidTr="00861F33">
        <w:trPr>
          <w:trHeight w:val="315"/>
        </w:trPr>
        <w:tc>
          <w:tcPr>
            <w:tcW w:w="1974"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rPr>
                <w:rFonts w:ascii="Verdana" w:hAnsi="Verdana"/>
                <w:b/>
                <w:bCs/>
                <w:color w:val="FFFFFF"/>
                <w:sz w:val="14"/>
                <w:szCs w:val="14"/>
              </w:rPr>
            </w:pPr>
            <w:r w:rsidRPr="0075432F">
              <w:rPr>
                <w:rFonts w:ascii="Verdana" w:hAnsi="Verdana"/>
                <w:b/>
                <w:color w:val="FFFFFF"/>
                <w:sz w:val="14"/>
              </w:rPr>
              <w:t xml:space="preserve">APDRAUDĒJUMS </w:t>
            </w:r>
          </w:p>
        </w:tc>
        <w:tc>
          <w:tcPr>
            <w:tcW w:w="686"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KAT. </w:t>
            </w:r>
          </w:p>
        </w:tc>
        <w:tc>
          <w:tcPr>
            <w:tcW w:w="992"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IESPĒJA</w:t>
            </w:r>
            <w:r w:rsidR="009B2EAB" w:rsidRPr="0075432F">
              <w:rPr>
                <w:rFonts w:ascii="Verdana" w:hAnsi="Verdana"/>
                <w:b/>
                <w:color w:val="FFFFFF"/>
                <w:sz w:val="14"/>
              </w:rPr>
              <w:softHyphen/>
            </w:r>
            <w:r w:rsidRPr="0075432F">
              <w:rPr>
                <w:rFonts w:ascii="Verdana" w:hAnsi="Verdana"/>
                <w:b/>
                <w:color w:val="FFFFFF"/>
                <w:sz w:val="14"/>
              </w:rPr>
              <w:t xml:space="preserve">MĪBA </w:t>
            </w:r>
          </w:p>
        </w:tc>
        <w:tc>
          <w:tcPr>
            <w:tcW w:w="141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NOPIETNĪBA </w:t>
            </w:r>
          </w:p>
        </w:tc>
        <w:tc>
          <w:tcPr>
            <w:tcW w:w="850"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RISKA KLASE </w:t>
            </w:r>
          </w:p>
        </w:tc>
        <w:tc>
          <w:tcPr>
            <w:tcW w:w="2268"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PAMATOJUMS</w:t>
            </w:r>
          </w:p>
        </w:tc>
        <w:tc>
          <w:tcPr>
            <w:tcW w:w="1843"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 xml:space="preserve">TIESĪBU AKTI, NOZARES STANDARTI UN/VAI LĪGUMA NOTEIKUMI </w:t>
            </w:r>
          </w:p>
        </w:tc>
        <w:tc>
          <w:tcPr>
            <w:tcW w:w="2551"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b/>
                <w:bCs/>
                <w:color w:val="FFFFFF"/>
                <w:sz w:val="14"/>
                <w:szCs w:val="14"/>
              </w:rPr>
            </w:pPr>
            <w:r w:rsidRPr="0075432F">
              <w:rPr>
                <w:rFonts w:ascii="Verdana" w:hAnsi="Verdana"/>
                <w:b/>
                <w:color w:val="FFFFFF"/>
                <w:sz w:val="14"/>
              </w:rPr>
              <w:t>KONTROLES PASĀKUMS</w:t>
            </w:r>
            <w:r w:rsidR="000D3DB5" w:rsidRPr="0075432F">
              <w:rPr>
                <w:rFonts w:ascii="Verdana" w:hAnsi="Verdana"/>
                <w:b/>
                <w:color w:val="FFFFFF"/>
                <w:sz w:val="14"/>
              </w:rPr>
              <w:t xml:space="preserve"> </w:t>
            </w:r>
          </w:p>
        </w:tc>
        <w:tc>
          <w:tcPr>
            <w:tcW w:w="2127" w:type="dxa"/>
            <w:tcBorders>
              <w:bottom w:val="single" w:sz="4" w:space="0" w:color="auto"/>
            </w:tcBorders>
            <w:shd w:val="clear" w:color="auto" w:fill="0DA72A"/>
            <w:tcMar>
              <w:top w:w="28" w:type="dxa"/>
              <w:bottom w:w="28" w:type="dxa"/>
            </w:tcMar>
            <w:vAlign w:val="center"/>
          </w:tcPr>
          <w:p w:rsidR="00DC7DEC" w:rsidRPr="0075432F" w:rsidRDefault="00DC7DEC" w:rsidP="00861F33">
            <w:pPr>
              <w:widowControl w:val="0"/>
              <w:spacing w:before="20" w:after="20"/>
              <w:jc w:val="center"/>
              <w:rPr>
                <w:rFonts w:ascii="Verdana" w:hAnsi="Verdana"/>
                <w:color w:val="FFFFFF"/>
                <w:sz w:val="14"/>
                <w:szCs w:val="14"/>
              </w:rPr>
            </w:pPr>
            <w:r w:rsidRPr="0075432F">
              <w:rPr>
                <w:rFonts w:ascii="Verdana" w:hAnsi="Verdana"/>
                <w:b/>
                <w:color w:val="FFFFFF"/>
                <w:sz w:val="14"/>
              </w:rPr>
              <w:t xml:space="preserve">PIEZĪMES </w:t>
            </w:r>
          </w:p>
        </w:tc>
      </w:tr>
      <w:tr w:rsidR="00DC7DEC" w:rsidRPr="0075432F" w:rsidTr="00861F33">
        <w:trPr>
          <w:trHeight w:val="224"/>
        </w:trPr>
        <w:tc>
          <w:tcPr>
            <w:tcW w:w="1974"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b/>
                <w:sz w:val="16"/>
              </w:rPr>
              <w:t>Iepriekšējas kravas radīts piesārņojums</w:t>
            </w:r>
          </w:p>
        </w:tc>
        <w:tc>
          <w:tcPr>
            <w:tcW w:w="686"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F/Ķ/B</w:t>
            </w:r>
          </w:p>
        </w:tc>
        <w:tc>
          <w:tcPr>
            <w:tcW w:w="992"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850"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2.</w:t>
            </w:r>
          </w:p>
        </w:tc>
        <w:tc>
          <w:tcPr>
            <w:tcW w:w="2268" w:type="dxa"/>
            <w:tcBorders>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p>
        </w:tc>
        <w:tc>
          <w:tcPr>
            <w:tcW w:w="1843"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551"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Jāpārbauda trīs iepriekšējās kravas.</w:t>
            </w:r>
          </w:p>
        </w:tc>
        <w:tc>
          <w:tcPr>
            <w:tcW w:w="2127" w:type="dxa"/>
            <w:tcBorders>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1011"/>
        </w:trPr>
        <w:tc>
          <w:tcPr>
            <w:tcW w:w="1974"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sz w:val="16"/>
                <w:szCs w:val="16"/>
              </w:rPr>
            </w:pPr>
            <w:r w:rsidRPr="0075432F">
              <w:rPr>
                <w:rFonts w:ascii="Verdana" w:hAnsi="Verdana"/>
                <w:b/>
                <w:sz w:val="16"/>
              </w:rPr>
              <w:t>- Autocisternas, cisternvagoni un baržas</w:t>
            </w:r>
          </w:p>
        </w:tc>
        <w:tc>
          <w:tcPr>
            <w:tcW w:w="68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92"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Glicerīna transportēšana saskaņā ar klienta prasībām</w:t>
            </w: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Regula (EK) Nr. 183/2005, kurā paredzēti barības sastāvdaļu transportēšanas noteikumi</w:t>
            </w:r>
          </w:p>
          <w:p w:rsidR="00DC7DEC" w:rsidRPr="0075432F" w:rsidRDefault="00DC7DEC" w:rsidP="00861F33">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Jāpārbauda iepriekšējās kravas </w:t>
            </w:r>
            <w:hyperlink r:id="rId21">
              <w:r w:rsidRPr="0075432F">
                <w:rPr>
                  <w:rStyle w:val="Hyperlink"/>
                  <w:rFonts w:ascii="Verdana" w:hAnsi="Verdana"/>
                  <w:i/>
                  <w:sz w:val="16"/>
                </w:rPr>
                <w:t>IDTF</w:t>
              </w:r>
              <w:r w:rsidRPr="0075432F">
                <w:rPr>
                  <w:rStyle w:val="Hyperlink"/>
                  <w:rFonts w:ascii="Verdana" w:hAnsi="Verdana"/>
                  <w:sz w:val="16"/>
                </w:rPr>
                <w:t xml:space="preserve"> datubāzē</w:t>
              </w:r>
            </w:hyperlink>
            <w:r w:rsidRPr="0075432F">
              <w:rPr>
                <w:rFonts w:ascii="Verdana" w:hAnsi="Verdana"/>
                <w:sz w:val="16"/>
              </w:rPr>
              <w:t>.</w:t>
            </w:r>
          </w:p>
          <w:p w:rsidR="00DC7DEC" w:rsidRPr="0075432F" w:rsidRDefault="00DC7DEC" w:rsidP="00861F33">
            <w:pPr>
              <w:widowControl w:val="0"/>
              <w:rPr>
                <w:rFonts w:ascii="Verdana" w:hAnsi="Verdana"/>
                <w:sz w:val="16"/>
                <w:szCs w:val="16"/>
              </w:rPr>
            </w:pPr>
            <w:r w:rsidRPr="0075432F">
              <w:rPr>
                <w:rFonts w:ascii="Verdana" w:hAnsi="Verdana"/>
                <w:sz w:val="16"/>
              </w:rPr>
              <w:t>Jāizmanto transportlīdzekļi, kas ir piemēroti barības sastāvdaļu pārvadāšanai, kā aprakstīts Eiropas rokasgrāmatā barības līdzekļu drošai rūpnieciskai ražošanai.</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trHeight w:val="224"/>
        </w:trPr>
        <w:tc>
          <w:tcPr>
            <w:tcW w:w="1974"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lastRenderedPageBreak/>
              <w:t>Piesārņojums ar tīrīšanas līdzekļiem</w:t>
            </w:r>
          </w:p>
        </w:tc>
        <w:tc>
          <w:tcPr>
            <w:tcW w:w="68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92"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 xml:space="preserve">Maza </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right"/>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pStyle w:val="Default"/>
              <w:rPr>
                <w:rFonts w:ascii="Verdana" w:hAnsi="Verdana" w:cs="Times New Roman"/>
                <w:sz w:val="16"/>
                <w:szCs w:val="16"/>
              </w:rPr>
            </w:pPr>
            <w:r w:rsidRPr="0075432F">
              <w:rPr>
                <w:rFonts w:ascii="Verdana" w:hAnsi="Verdana"/>
                <w:sz w:val="16"/>
              </w:rPr>
              <w:t xml:space="preserve">Glicerīna transportēšanas konteineros lietotie tīrīšanas līdzekļi būtu jālikvidē, rūpīgi skalojot. Jānovērtē risks, ko varētu radīt izmantotie tīrīšanas līdzekļi, un jāīsteno piemēroti pasākumi, lai samazinātu risku līdz pieņemamam līmenim. </w:t>
            </w:r>
          </w:p>
          <w:p w:rsidR="00DC7DEC" w:rsidRPr="0075432F" w:rsidRDefault="00DC7DEC" w:rsidP="00861F33">
            <w:pPr>
              <w:pStyle w:val="Default"/>
              <w:rPr>
                <w:rFonts w:ascii="Verdana" w:hAnsi="Verdana" w:cs="Times New Roman"/>
                <w:sz w:val="18"/>
                <w:szCs w:val="18"/>
              </w:rPr>
            </w:pPr>
            <w:r w:rsidRPr="0075432F">
              <w:rPr>
                <w:rFonts w:ascii="Verdana" w:hAnsi="Verdana"/>
                <w:sz w:val="16"/>
              </w:rPr>
              <w:t>Šis risks nav bieži sastopams, jo visbiežāk tiek izmantoti speciāli transportēšanas konteineri.</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cantSplit/>
          <w:trHeight w:val="448"/>
        </w:trPr>
        <w:tc>
          <w:tcPr>
            <w:tcW w:w="1974"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sz w:val="16"/>
                <w:szCs w:val="16"/>
              </w:rPr>
            </w:pPr>
            <w:r w:rsidRPr="0075432F">
              <w:rPr>
                <w:rFonts w:ascii="Verdana" w:hAnsi="Verdana"/>
                <w:b/>
                <w:sz w:val="16"/>
              </w:rPr>
              <w:t xml:space="preserve">Autocisternas </w:t>
            </w:r>
          </w:p>
        </w:tc>
        <w:tc>
          <w:tcPr>
            <w:tcW w:w="68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Ķ</w:t>
            </w:r>
          </w:p>
        </w:tc>
        <w:tc>
          <w:tcPr>
            <w:tcW w:w="992"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850"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1.</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 xml:space="preserve">Izmanto nerūsošā tērauda tvertnes, kuras apsilda ar motora dzesēšanas ūdeni, ko pārvada dubultsienu sistēmā (nevis ar spolēm). </w:t>
            </w: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cantSplit/>
          <w:trHeight w:val="340"/>
        </w:trPr>
        <w:tc>
          <w:tcPr>
            <w:tcW w:w="1974"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Svešķermeņi</w:t>
            </w:r>
          </w:p>
        </w:tc>
        <w:tc>
          <w:tcPr>
            <w:tcW w:w="68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F</w:t>
            </w:r>
          </w:p>
        </w:tc>
        <w:tc>
          <w:tcPr>
            <w:tcW w:w="992"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Maza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Liela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iCs/>
                <w:color w:val="FF6600"/>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Kvalitātes plānā būtu jāietver prasība, ka glicerīns ir jāiepilda autocisternās zem jumta.</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r>
      <w:tr w:rsidR="00DC7DEC" w:rsidRPr="0075432F" w:rsidTr="00861F33">
        <w:trPr>
          <w:cantSplit/>
          <w:trHeight w:val="340"/>
        </w:trPr>
        <w:tc>
          <w:tcPr>
            <w:tcW w:w="1974"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b/>
                <w:bCs/>
                <w:sz w:val="16"/>
                <w:szCs w:val="16"/>
              </w:rPr>
            </w:pPr>
            <w:r w:rsidRPr="0075432F">
              <w:rPr>
                <w:rFonts w:ascii="Verdana" w:hAnsi="Verdana"/>
                <w:b/>
                <w:sz w:val="16"/>
              </w:rPr>
              <w:t xml:space="preserve">Kaitēkļi </w:t>
            </w:r>
          </w:p>
        </w:tc>
        <w:tc>
          <w:tcPr>
            <w:tcW w:w="686"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B</w:t>
            </w:r>
          </w:p>
        </w:tc>
        <w:tc>
          <w:tcPr>
            <w:tcW w:w="992"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1418" w:type="dxa"/>
            <w:tcBorders>
              <w:top w:val="single" w:sz="4" w:space="0" w:color="auto"/>
              <w:bottom w:val="single" w:sz="4" w:space="0" w:color="auto"/>
            </w:tcBorders>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Vidēja</w:t>
            </w:r>
          </w:p>
        </w:tc>
        <w:tc>
          <w:tcPr>
            <w:tcW w:w="850" w:type="dxa"/>
            <w:tcBorders>
              <w:top w:val="single" w:sz="4" w:space="0" w:color="auto"/>
              <w:bottom w:val="single" w:sz="4" w:space="0" w:color="auto"/>
            </w:tcBorders>
            <w:shd w:val="clear" w:color="auto" w:fill="FFC000"/>
            <w:tcMar>
              <w:top w:w="85" w:type="dxa"/>
              <w:bottom w:w="85" w:type="dxa"/>
            </w:tcMar>
          </w:tcPr>
          <w:p w:rsidR="00DC7DEC" w:rsidRPr="0075432F" w:rsidRDefault="00DC7DEC" w:rsidP="00861F33">
            <w:pPr>
              <w:widowControl w:val="0"/>
              <w:jc w:val="center"/>
              <w:rPr>
                <w:rFonts w:ascii="Verdana" w:hAnsi="Verdana"/>
                <w:sz w:val="16"/>
                <w:szCs w:val="16"/>
              </w:rPr>
            </w:pPr>
            <w:r w:rsidRPr="0075432F">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p>
        </w:tc>
        <w:tc>
          <w:tcPr>
            <w:tcW w:w="1843"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iCs/>
                <w:color w:val="FF6600"/>
                <w:sz w:val="16"/>
                <w:szCs w:val="16"/>
              </w:rPr>
            </w:pPr>
          </w:p>
        </w:tc>
        <w:tc>
          <w:tcPr>
            <w:tcW w:w="2551"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Kaitēkļu apkarošanas priekšnosacījumu programma</w:t>
            </w:r>
          </w:p>
        </w:tc>
        <w:tc>
          <w:tcPr>
            <w:tcW w:w="2127" w:type="dxa"/>
            <w:tcBorders>
              <w:top w:val="single" w:sz="4" w:space="0" w:color="auto"/>
              <w:bottom w:val="single" w:sz="4" w:space="0" w:color="auto"/>
            </w:tcBorders>
            <w:tcMar>
              <w:top w:w="85" w:type="dxa"/>
              <w:bottom w:w="85" w:type="dxa"/>
            </w:tcMar>
          </w:tcPr>
          <w:p w:rsidR="00DC7DEC" w:rsidRPr="0075432F" w:rsidRDefault="00DC7DEC" w:rsidP="00861F33">
            <w:pPr>
              <w:widowControl w:val="0"/>
              <w:rPr>
                <w:rFonts w:ascii="Verdana" w:hAnsi="Verdana"/>
                <w:sz w:val="16"/>
                <w:szCs w:val="16"/>
              </w:rPr>
            </w:pPr>
            <w:r w:rsidRPr="0075432F">
              <w:rPr>
                <w:rFonts w:ascii="Verdana" w:hAnsi="Verdana"/>
                <w:sz w:val="16"/>
              </w:rPr>
              <w:t>Jāpārbauda kaitēkļu aktivitāte.</w:t>
            </w:r>
          </w:p>
        </w:tc>
      </w:tr>
    </w:tbl>
    <w:p w:rsidR="00DC7DEC" w:rsidRPr="0075432F" w:rsidRDefault="00DC7DEC" w:rsidP="00DC7DEC">
      <w:pPr>
        <w:rPr>
          <w:rFonts w:ascii="Verdana" w:hAnsi="Verdana"/>
        </w:rPr>
        <w:sectPr w:rsidR="00DC7DEC" w:rsidRPr="0075432F" w:rsidSect="00861F33">
          <w:headerReference w:type="default" r:id="rId22"/>
          <w:pgSz w:w="15840" w:h="12240" w:orient="landscape"/>
          <w:pgMar w:top="1134" w:right="851" w:bottom="284" w:left="851" w:header="720" w:footer="720" w:gutter="0"/>
          <w:cols w:space="720"/>
          <w:docGrid w:linePitch="360"/>
        </w:sectPr>
      </w:pPr>
    </w:p>
    <w:p w:rsidR="00DC7DEC" w:rsidRPr="0075432F" w:rsidRDefault="00DC7DEC" w:rsidP="00DC7DEC">
      <w:pPr>
        <w:pStyle w:val="Heading1"/>
        <w:numPr>
          <w:ilvl w:val="0"/>
          <w:numId w:val="0"/>
        </w:numPr>
        <w:ind w:left="432"/>
        <w:rPr>
          <w:rFonts w:ascii="Verdana" w:hAnsi="Verdana"/>
          <w:sz w:val="20"/>
          <w:szCs w:val="20"/>
        </w:rPr>
      </w:pPr>
    </w:p>
    <w:p w:rsidR="00DC7DEC" w:rsidRPr="0075432F" w:rsidRDefault="00DC7DEC" w:rsidP="00DC7DEC">
      <w:pPr>
        <w:pStyle w:val="Heading1"/>
        <w:numPr>
          <w:ilvl w:val="0"/>
          <w:numId w:val="0"/>
        </w:numPr>
        <w:rPr>
          <w:rFonts w:ascii="Verdana" w:hAnsi="Verdana"/>
        </w:rPr>
      </w:pPr>
      <w:bookmarkStart w:id="69" w:name="_Toc354998630"/>
      <w:bookmarkStart w:id="70" w:name="_Toc435977961"/>
      <w:r w:rsidRPr="0075432F">
        <w:rPr>
          <w:rFonts w:ascii="Verdana" w:hAnsi="Verdana"/>
        </w:rPr>
        <w:t>9. Minimālā pārraudzība</w:t>
      </w:r>
      <w:bookmarkEnd w:id="69"/>
      <w:bookmarkEnd w:id="70"/>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i/>
        </w:rPr>
        <w:t>EFISC</w:t>
      </w:r>
      <w:r w:rsidRPr="0075432F">
        <w:rPr>
          <w:rFonts w:ascii="Verdana" w:hAnsi="Verdana"/>
        </w:rPr>
        <w:t xml:space="preserve"> sistēmas dalībnieki īsteno pārraudzības plānu, kas aprakstīts </w:t>
      </w:r>
      <w:r w:rsidRPr="0075432F">
        <w:rPr>
          <w:rFonts w:ascii="Verdana" w:hAnsi="Verdana"/>
          <w:i/>
        </w:rPr>
        <w:t>EFISC</w:t>
      </w:r>
      <w:r w:rsidRPr="0075432F">
        <w:rPr>
          <w:rFonts w:ascii="Verdana" w:hAnsi="Verdana"/>
        </w:rPr>
        <w:t xml:space="preserve"> kodeksa 4.4.3. punktā. </w:t>
      </w:r>
    </w:p>
    <w:p w:rsidR="00DC7DEC" w:rsidRPr="0075432F" w:rsidRDefault="00DC7DEC" w:rsidP="00DC7DEC">
      <w:pPr>
        <w:jc w:val="both"/>
        <w:rPr>
          <w:rFonts w:ascii="Verdana" w:hAnsi="Verdana"/>
          <w:szCs w:val="20"/>
        </w:rPr>
      </w:pPr>
    </w:p>
    <w:p w:rsidR="00DC7DEC" w:rsidRPr="0075432F" w:rsidRDefault="00DC7DEC" w:rsidP="00DC7DEC">
      <w:pPr>
        <w:jc w:val="both"/>
        <w:rPr>
          <w:rFonts w:ascii="Verdana" w:hAnsi="Verdana"/>
          <w:szCs w:val="20"/>
        </w:rPr>
      </w:pPr>
      <w:r w:rsidRPr="0075432F">
        <w:rPr>
          <w:rFonts w:ascii="Verdana" w:hAnsi="Verdana"/>
        </w:rPr>
        <w:t>Ja riska novērtējuma veikšanai nav pieejami pietiekami dati, piemēro turpmāk minētās minimālās pārraudzības prasības. Analīžu minimālais skaits ir atkarīgs no vienā un tajā pašā vietā saražoto barības sastāvdaļu daudzuma tonnās, kā norādīts turpmāk dotajā tabulā.</w:t>
      </w:r>
    </w:p>
    <w:p w:rsidR="00DC7DEC" w:rsidRPr="0075432F" w:rsidRDefault="00DC7DEC" w:rsidP="00DC7DEC">
      <w:pPr>
        <w:jc w:val="both"/>
        <w:rPr>
          <w:rFonts w:ascii="Verdana" w:hAnsi="Verdana"/>
          <w:szCs w:val="20"/>
        </w:rPr>
      </w:pPr>
    </w:p>
    <w:p w:rsidR="00DC7DEC" w:rsidRPr="0075432F" w:rsidRDefault="00DC7DEC" w:rsidP="00DC7DEC">
      <w:pPr>
        <w:autoSpaceDE w:val="0"/>
        <w:autoSpaceDN w:val="0"/>
        <w:adjustRightInd w:val="0"/>
        <w:rPr>
          <w:rFonts w:ascii="Verdana" w:hAnsi="Verdana"/>
          <w:b/>
          <w:bCs/>
          <w:szCs w:val="20"/>
        </w:rPr>
      </w:pPr>
    </w:p>
    <w:p w:rsidR="00DC7DEC" w:rsidRPr="0075432F" w:rsidRDefault="00DC7DEC" w:rsidP="00DC7DEC">
      <w:pPr>
        <w:autoSpaceDE w:val="0"/>
        <w:autoSpaceDN w:val="0"/>
        <w:adjustRightInd w:val="0"/>
        <w:rPr>
          <w:rFonts w:ascii="Verdana" w:hAnsi="Verdana"/>
          <w:b/>
          <w:bCs/>
          <w:szCs w:val="20"/>
          <w:u w:val="single"/>
        </w:rPr>
      </w:pPr>
      <w:r w:rsidRPr="0075432F">
        <w:rPr>
          <w:rFonts w:ascii="Verdana" w:hAnsi="Verdana"/>
          <w:b/>
          <w:u w:val="single"/>
        </w:rPr>
        <w:t>Minimālais pārraudzības plāns attiecībā uz glicerīnu, kas iegūts kā blakusprodukts augu eļļas pārstrādes procesā</w:t>
      </w:r>
    </w:p>
    <w:p w:rsidR="00DC7DEC" w:rsidRPr="0075432F" w:rsidRDefault="00DC7DEC" w:rsidP="00DC7DEC">
      <w:pPr>
        <w:autoSpaceDE w:val="0"/>
        <w:autoSpaceDN w:val="0"/>
        <w:adjustRightInd w:val="0"/>
        <w:rPr>
          <w:rFonts w:ascii="Verdana" w:hAnsi="Verdana"/>
          <w:szCs w:val="20"/>
        </w:rPr>
      </w:pPr>
    </w:p>
    <w:p w:rsidR="00DC7DEC" w:rsidRPr="0075432F" w:rsidRDefault="00DC7DEC" w:rsidP="00DC7DEC">
      <w:pPr>
        <w:autoSpaceDE w:val="0"/>
        <w:autoSpaceDN w:val="0"/>
        <w:adjustRightInd w:val="0"/>
        <w:rPr>
          <w:rFonts w:ascii="Verdana" w:hAnsi="Verdana"/>
          <w:b/>
          <w:szCs w:val="20"/>
        </w:rPr>
      </w:pPr>
      <w:r w:rsidRPr="0075432F">
        <w:rPr>
          <w:rFonts w:ascii="Verdana" w:hAnsi="Verdana"/>
          <w:b/>
        </w:rPr>
        <w:t xml:space="preserve">A tabula. Glicerīns un neattīrīts glicerīns </w:t>
      </w:r>
    </w:p>
    <w:p w:rsidR="00DC7DEC" w:rsidRPr="0075432F" w:rsidRDefault="00DC7DEC" w:rsidP="00DC7DEC">
      <w:pPr>
        <w:autoSpaceDE w:val="0"/>
        <w:autoSpaceDN w:val="0"/>
        <w:adjustRightInd w:val="0"/>
        <w:rPr>
          <w:rFonts w:ascii="Verdana" w:hAnsi="Verdan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608"/>
        <w:gridCol w:w="1418"/>
      </w:tblGrid>
      <w:tr w:rsidR="00DC7DEC" w:rsidRPr="0075432F" w:rsidTr="00861F33">
        <w:trPr>
          <w:jc w:val="center"/>
        </w:trPr>
        <w:tc>
          <w:tcPr>
            <w:tcW w:w="2943" w:type="dxa"/>
            <w:shd w:val="clear" w:color="auto" w:fill="DBE5F1"/>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Saražotais apjoms gadā (t)</w:t>
            </w:r>
          </w:p>
          <w:p w:rsidR="00DC7DEC" w:rsidRPr="0075432F" w:rsidRDefault="00DC7DEC" w:rsidP="00861F33">
            <w:pPr>
              <w:autoSpaceDE w:val="0"/>
              <w:autoSpaceDN w:val="0"/>
              <w:adjustRightInd w:val="0"/>
              <w:rPr>
                <w:rFonts w:ascii="Verdana" w:hAnsi="Verdana"/>
                <w:b/>
                <w:szCs w:val="20"/>
              </w:rPr>
            </w:pPr>
            <w:r w:rsidRPr="0075432F">
              <w:rPr>
                <w:rFonts w:ascii="Verdana" w:hAnsi="Verdana"/>
                <w:b/>
              </w:rPr>
              <w:t>Parametrs</w:t>
            </w:r>
          </w:p>
        </w:tc>
        <w:tc>
          <w:tcPr>
            <w:tcW w:w="1418" w:type="dxa"/>
            <w:shd w:val="clear" w:color="auto" w:fill="DBE5F1"/>
          </w:tcPr>
          <w:p w:rsidR="00DC7DEC" w:rsidRPr="0075432F" w:rsidRDefault="00636578" w:rsidP="00861F33">
            <w:pPr>
              <w:autoSpaceDE w:val="0"/>
              <w:autoSpaceDN w:val="0"/>
              <w:adjustRightInd w:val="0"/>
              <w:rPr>
                <w:rFonts w:ascii="Verdana" w:hAnsi="Verdana"/>
                <w:b/>
                <w:bCs/>
                <w:szCs w:val="20"/>
              </w:rPr>
            </w:pPr>
            <w:r>
              <w:rPr>
                <w:rFonts w:ascii="Verdana" w:hAnsi="Verdana"/>
                <w:b/>
              </w:rPr>
              <w:t>≤</w:t>
            </w:r>
            <w:r w:rsidR="00DC7DEC" w:rsidRPr="0075432F">
              <w:rPr>
                <w:rFonts w:ascii="Verdana" w:hAnsi="Verdana"/>
                <w:b/>
              </w:rPr>
              <w:t> 10 000 t</w:t>
            </w:r>
          </w:p>
          <w:p w:rsidR="00DC7DEC" w:rsidRPr="0075432F" w:rsidRDefault="00DC7DEC" w:rsidP="00861F33">
            <w:pPr>
              <w:autoSpaceDE w:val="0"/>
              <w:autoSpaceDN w:val="0"/>
              <w:adjustRightInd w:val="0"/>
              <w:rPr>
                <w:rFonts w:ascii="Verdana" w:hAnsi="Verdana"/>
                <w:szCs w:val="20"/>
              </w:rPr>
            </w:pPr>
          </w:p>
        </w:tc>
        <w:tc>
          <w:tcPr>
            <w:tcW w:w="1558" w:type="dxa"/>
            <w:shd w:val="clear" w:color="auto" w:fill="DBE5F1"/>
          </w:tcPr>
          <w:p w:rsidR="00DC7DEC" w:rsidRPr="0075432F" w:rsidRDefault="00DC7DEC" w:rsidP="00861F33">
            <w:pPr>
              <w:autoSpaceDE w:val="0"/>
              <w:autoSpaceDN w:val="0"/>
              <w:adjustRightInd w:val="0"/>
              <w:rPr>
                <w:rFonts w:ascii="Verdana" w:hAnsi="Verdana"/>
                <w:b/>
                <w:bCs/>
                <w:szCs w:val="20"/>
              </w:rPr>
            </w:pPr>
            <w:r w:rsidRPr="0075432F">
              <w:rPr>
                <w:rFonts w:ascii="Verdana" w:hAnsi="Verdana"/>
                <w:b/>
              </w:rPr>
              <w:t>&gt; 10 000 t –</w:t>
            </w:r>
          </w:p>
          <w:p w:rsidR="00DC7DEC" w:rsidRPr="0075432F" w:rsidRDefault="00636578" w:rsidP="00861F33">
            <w:pPr>
              <w:autoSpaceDE w:val="0"/>
              <w:autoSpaceDN w:val="0"/>
              <w:adjustRightInd w:val="0"/>
              <w:rPr>
                <w:rFonts w:ascii="Verdana" w:hAnsi="Verdana"/>
                <w:b/>
                <w:bCs/>
                <w:szCs w:val="20"/>
              </w:rPr>
            </w:pPr>
            <w:r>
              <w:rPr>
                <w:rFonts w:ascii="Verdana" w:hAnsi="Verdana"/>
                <w:b/>
              </w:rPr>
              <w:t>≤</w:t>
            </w:r>
            <w:r w:rsidR="00DC7DEC" w:rsidRPr="0075432F">
              <w:rPr>
                <w:rFonts w:ascii="Verdana" w:hAnsi="Verdana"/>
                <w:b/>
              </w:rPr>
              <w:t> 20 000 t</w:t>
            </w:r>
          </w:p>
          <w:p w:rsidR="00DC7DEC" w:rsidRPr="0075432F" w:rsidRDefault="00DC7DEC" w:rsidP="00861F33">
            <w:pPr>
              <w:autoSpaceDE w:val="0"/>
              <w:autoSpaceDN w:val="0"/>
              <w:adjustRightInd w:val="0"/>
              <w:rPr>
                <w:rFonts w:ascii="Verdana" w:hAnsi="Verdana"/>
                <w:szCs w:val="20"/>
              </w:rPr>
            </w:pPr>
          </w:p>
        </w:tc>
        <w:tc>
          <w:tcPr>
            <w:tcW w:w="1418" w:type="dxa"/>
            <w:shd w:val="clear" w:color="auto" w:fill="DBE5F1"/>
          </w:tcPr>
          <w:p w:rsidR="00DC7DEC" w:rsidRPr="0075432F" w:rsidRDefault="00DC7DEC" w:rsidP="00861F33">
            <w:pPr>
              <w:autoSpaceDE w:val="0"/>
              <w:autoSpaceDN w:val="0"/>
              <w:adjustRightInd w:val="0"/>
              <w:rPr>
                <w:rFonts w:ascii="Verdana" w:hAnsi="Verdana"/>
                <w:b/>
                <w:bCs/>
                <w:szCs w:val="20"/>
              </w:rPr>
            </w:pPr>
            <w:r w:rsidRPr="0075432F">
              <w:rPr>
                <w:rFonts w:ascii="Verdana" w:hAnsi="Verdana"/>
                <w:b/>
              </w:rPr>
              <w:t>&gt; 20 000 t</w:t>
            </w:r>
          </w:p>
          <w:p w:rsidR="00DC7DEC" w:rsidRPr="0075432F" w:rsidRDefault="00DC7DEC" w:rsidP="00861F33">
            <w:pPr>
              <w:autoSpaceDE w:val="0"/>
              <w:autoSpaceDN w:val="0"/>
              <w:adjustRightInd w:val="0"/>
              <w:rPr>
                <w:rFonts w:ascii="Verdana" w:hAnsi="Verdana"/>
                <w:szCs w:val="20"/>
              </w:rPr>
            </w:pPr>
          </w:p>
        </w:tc>
      </w:tr>
      <w:tr w:rsidR="00DC7DEC" w:rsidRPr="0075432F" w:rsidTr="00861F33">
        <w:trPr>
          <w:jc w:val="center"/>
        </w:trPr>
        <w:tc>
          <w:tcPr>
            <w:tcW w:w="2943" w:type="dxa"/>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Dioksīns</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55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r>
      <w:tr w:rsidR="00DC7DEC" w:rsidRPr="0075432F" w:rsidTr="00861F33">
        <w:trPr>
          <w:jc w:val="center"/>
        </w:trPr>
        <w:tc>
          <w:tcPr>
            <w:tcW w:w="2943" w:type="dxa"/>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Dioksīniem līdzīgie PHB</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55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r>
      <w:tr w:rsidR="00DC7DEC" w:rsidRPr="0075432F" w:rsidTr="00861F33">
        <w:trPr>
          <w:jc w:val="center"/>
        </w:trPr>
        <w:tc>
          <w:tcPr>
            <w:tcW w:w="2943" w:type="dxa"/>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PHB, kas nav līdzīgi dioksīniem</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55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r>
      <w:tr w:rsidR="00DC7DEC" w:rsidRPr="0075432F" w:rsidTr="00861F33">
        <w:trPr>
          <w:jc w:val="center"/>
        </w:trPr>
        <w:tc>
          <w:tcPr>
            <w:tcW w:w="2943" w:type="dxa"/>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Salmonellas</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55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3</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r>
      <w:tr w:rsidR="00DC7DEC" w:rsidRPr="0075432F" w:rsidTr="00861F33">
        <w:trPr>
          <w:jc w:val="center"/>
        </w:trPr>
        <w:tc>
          <w:tcPr>
            <w:tcW w:w="2943" w:type="dxa"/>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Smagie metāli (Pb, Cd, As, Hg)</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55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3</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r>
      <w:tr w:rsidR="00DC7DEC" w:rsidRPr="0075432F" w:rsidTr="00861F33">
        <w:trPr>
          <w:jc w:val="center"/>
        </w:trPr>
        <w:tc>
          <w:tcPr>
            <w:tcW w:w="2943" w:type="dxa"/>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Pesticīdi</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55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r>
      <w:tr w:rsidR="00DC7DEC" w:rsidRPr="0075432F" w:rsidTr="00861F33">
        <w:trPr>
          <w:jc w:val="center"/>
        </w:trPr>
        <w:tc>
          <w:tcPr>
            <w:tcW w:w="2943" w:type="dxa"/>
          </w:tcPr>
          <w:p w:rsidR="00DC7DEC" w:rsidRPr="0075432F" w:rsidRDefault="00DC7DEC" w:rsidP="00861F33">
            <w:pPr>
              <w:autoSpaceDE w:val="0"/>
              <w:autoSpaceDN w:val="0"/>
              <w:adjustRightInd w:val="0"/>
              <w:rPr>
                <w:rFonts w:ascii="Verdana" w:hAnsi="Verdana"/>
                <w:b/>
                <w:szCs w:val="20"/>
              </w:rPr>
            </w:pPr>
            <w:r w:rsidRPr="0075432F">
              <w:rPr>
                <w:rFonts w:ascii="Verdana" w:hAnsi="Verdana"/>
                <w:b/>
              </w:rPr>
              <w:t>Metanols*</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2</w:t>
            </w:r>
          </w:p>
        </w:tc>
        <w:tc>
          <w:tcPr>
            <w:tcW w:w="155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3</w:t>
            </w:r>
          </w:p>
        </w:tc>
        <w:tc>
          <w:tcPr>
            <w:tcW w:w="1418" w:type="dxa"/>
          </w:tcPr>
          <w:p w:rsidR="00DC7DEC" w:rsidRPr="0075432F" w:rsidRDefault="00DC7DEC" w:rsidP="00861F33">
            <w:pPr>
              <w:autoSpaceDE w:val="0"/>
              <w:autoSpaceDN w:val="0"/>
              <w:adjustRightInd w:val="0"/>
              <w:rPr>
                <w:rFonts w:ascii="Verdana" w:hAnsi="Verdana"/>
                <w:szCs w:val="20"/>
              </w:rPr>
            </w:pPr>
            <w:r w:rsidRPr="0075432F">
              <w:rPr>
                <w:rFonts w:ascii="Verdana" w:hAnsi="Verdana"/>
              </w:rPr>
              <w:t>4</w:t>
            </w:r>
          </w:p>
        </w:tc>
      </w:tr>
    </w:tbl>
    <w:p w:rsidR="00DC7DEC" w:rsidRPr="0075432F" w:rsidRDefault="00DC7DEC" w:rsidP="00DC7DEC">
      <w:pPr>
        <w:autoSpaceDE w:val="0"/>
        <w:autoSpaceDN w:val="0"/>
        <w:adjustRightInd w:val="0"/>
        <w:ind w:left="708"/>
        <w:rPr>
          <w:rFonts w:ascii="Verdana" w:hAnsi="Verdana"/>
          <w:szCs w:val="20"/>
        </w:rPr>
      </w:pPr>
      <w:r w:rsidRPr="0075432F">
        <w:rPr>
          <w:rFonts w:ascii="Verdana" w:hAnsi="Verdana"/>
        </w:rPr>
        <w:t>* Metanols ir jāpārbauda tikai neattīrīta glicerīna gadījumā.</w:t>
      </w:r>
    </w:p>
    <w:p w:rsidR="00DC7DEC" w:rsidRPr="0075432F" w:rsidRDefault="00DC7DEC" w:rsidP="00DC7DEC">
      <w:pPr>
        <w:tabs>
          <w:tab w:val="left" w:pos="6945"/>
        </w:tabs>
        <w:rPr>
          <w:rFonts w:ascii="Verdana" w:hAnsi="Verdana"/>
          <w:szCs w:val="20"/>
        </w:rPr>
      </w:pPr>
    </w:p>
    <w:p w:rsidR="00587DB9" w:rsidRPr="0075432F" w:rsidRDefault="00587DB9">
      <w:pPr>
        <w:rPr>
          <w:rFonts w:ascii="Verdana" w:hAnsi="Verdana"/>
        </w:rPr>
      </w:pPr>
    </w:p>
    <w:sectPr w:rsidR="00587DB9" w:rsidRPr="0075432F" w:rsidSect="00861F33">
      <w:headerReference w:type="default" r:id="rId23"/>
      <w:pgSz w:w="12240" w:h="15840"/>
      <w:pgMar w:top="851" w:right="1325"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DC" w:rsidRDefault="009C27DC" w:rsidP="00DC7DEC">
      <w:r>
        <w:separator/>
      </w:r>
    </w:p>
  </w:endnote>
  <w:endnote w:type="continuationSeparator" w:id="0">
    <w:p w:rsidR="009C27DC" w:rsidRDefault="009C27DC" w:rsidP="00DC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33" w:rsidRDefault="00861F33" w:rsidP="00861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F33" w:rsidRDefault="00861F33" w:rsidP="00861F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33" w:rsidRDefault="00861F33" w:rsidP="00861F33">
    <w:pPr>
      <w:pStyle w:val="Footer"/>
      <w:framePr w:wrap="around" w:vAnchor="text" w:hAnchor="page" w:x="10711" w:yAlign="top"/>
      <w:rPr>
        <w:rStyle w:val="PageNumber"/>
      </w:rPr>
    </w:pPr>
    <w:r>
      <w:rPr>
        <w:rStyle w:val="PageNumber"/>
      </w:rPr>
      <w:fldChar w:fldCharType="begin"/>
    </w:r>
    <w:r>
      <w:rPr>
        <w:rStyle w:val="PageNumber"/>
      </w:rPr>
      <w:instrText xml:space="preserve">PAGE  </w:instrText>
    </w:r>
    <w:r>
      <w:rPr>
        <w:rStyle w:val="PageNumber"/>
      </w:rPr>
      <w:fldChar w:fldCharType="separate"/>
    </w:r>
    <w:r w:rsidR="006B31B7">
      <w:rPr>
        <w:rStyle w:val="PageNumber"/>
        <w:noProof/>
      </w:rPr>
      <w:t>2</w:t>
    </w:r>
    <w:r>
      <w:rPr>
        <w:rStyle w:val="PageNumber"/>
      </w:rPr>
      <w:fldChar w:fldCharType="end"/>
    </w:r>
  </w:p>
  <w:p w:rsidR="00861F33" w:rsidRPr="00E44357" w:rsidRDefault="00861F33" w:rsidP="00861F33">
    <w:pPr>
      <w:pStyle w:val="Title"/>
      <w:jc w:val="left"/>
      <w:rPr>
        <w:rFonts w:ascii="Verdana" w:hAnsi="Verdana"/>
        <w:b w:val="0"/>
        <w:i/>
        <w:color w:val="4F81BD"/>
        <w:sz w:val="18"/>
        <w:szCs w:val="18"/>
        <w:u w:val="none"/>
      </w:rPr>
    </w:pPr>
    <w:r w:rsidRPr="00861F33">
      <w:rPr>
        <w:rFonts w:ascii="Verdana" w:hAnsi="Verdana"/>
        <w:b w:val="0"/>
        <w:color w:val="4F81BD"/>
        <w:sz w:val="18"/>
        <w:u w:val="none"/>
      </w:rPr>
      <w:t>EFISC</w:t>
    </w:r>
    <w:r>
      <w:rPr>
        <w:rFonts w:ascii="Verdana" w:hAnsi="Verdana"/>
        <w:b w:val="0"/>
        <w:i/>
        <w:color w:val="4F81BD"/>
        <w:sz w:val="18"/>
        <w:u w:val="none"/>
      </w:rPr>
      <w:t xml:space="preserve"> rokasgrāmata — nozares atsauces dokuments par nekaitīgu barības sastāvdaļu ražošanu biodīzeļdegvielas pārstrādes procesā</w:t>
    </w:r>
  </w:p>
  <w:p w:rsidR="00861F33" w:rsidRDefault="00861F33" w:rsidP="00861F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DC" w:rsidRDefault="009C27DC" w:rsidP="00DC7DEC">
      <w:r>
        <w:separator/>
      </w:r>
    </w:p>
  </w:footnote>
  <w:footnote w:type="continuationSeparator" w:id="0">
    <w:p w:rsidR="009C27DC" w:rsidRDefault="009C27DC" w:rsidP="00DC7DEC">
      <w:r>
        <w:continuationSeparator/>
      </w:r>
    </w:p>
  </w:footnote>
  <w:footnote w:id="1">
    <w:p w:rsidR="00861F33" w:rsidRDefault="00861F33" w:rsidP="00DC7DEC">
      <w:pPr>
        <w:autoSpaceDE w:val="0"/>
        <w:autoSpaceDN w:val="0"/>
        <w:adjustRightInd w:val="0"/>
        <w:rPr>
          <w:rFonts w:cs="Tahoma"/>
          <w:bCs/>
          <w:szCs w:val="20"/>
          <w:lang w:val="en-US" w:eastAsia="fr-BE"/>
        </w:rPr>
      </w:pPr>
      <w:r>
        <w:rPr>
          <w:rStyle w:val="FootnoteReference"/>
        </w:rPr>
        <w:footnoteRef/>
      </w:r>
      <w:r>
        <w:t xml:space="preserve"> </w:t>
      </w:r>
      <w:r>
        <w:rPr>
          <w:i/>
        </w:rPr>
        <w:t>FEDIOL</w:t>
      </w:r>
      <w:r>
        <w:t xml:space="preserve"> nozares atsauces dokuments: Kopienas labas prakses rokasgrāmata barības līdzekļu drošai ražošanai; 4. pielikums: </w:t>
      </w:r>
    </w:p>
    <w:p w:rsidR="00861F33" w:rsidRPr="00FD4587" w:rsidRDefault="006B31B7" w:rsidP="00DC7DEC">
      <w:pPr>
        <w:autoSpaceDE w:val="0"/>
        <w:autoSpaceDN w:val="0"/>
        <w:adjustRightInd w:val="0"/>
        <w:rPr>
          <w:rFonts w:cs="Tahoma"/>
          <w:bCs/>
          <w:sz w:val="16"/>
          <w:szCs w:val="20"/>
          <w:lang w:val="en-US" w:eastAsia="fr-BE"/>
        </w:rPr>
      </w:pPr>
      <w:hyperlink r:id="rId1">
        <w:r w:rsidR="00076DF5" w:rsidRPr="00076DF5">
          <w:rPr>
            <w:rStyle w:val="Hyperlink"/>
            <w:sz w:val="16"/>
          </w:rPr>
          <w:t>http://www.efisc.eu/data/14168338154.%20Sector%20ref%20doc%20on%20oilseed%20crushing%20and%20veg%20oil%20refining%20version%203.1.pdf</w:t>
        </w:r>
        <w:r w:rsidR="00861F33">
          <w:rPr>
            <w:rStyle w:val="Hyperlink"/>
            <w:sz w:val="16"/>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33" w:rsidRPr="00197C5A" w:rsidRDefault="00861F33" w:rsidP="00861F33">
    <w:pPr>
      <w:pStyle w:val="Header"/>
      <w:tabs>
        <w:tab w:val="clear" w:pos="4536"/>
        <w:tab w:val="clear" w:pos="9072"/>
        <w:tab w:val="right" w:pos="8789"/>
      </w:tabs>
      <w:jc w:val="both"/>
      <w:rPr>
        <w:b/>
        <w:sz w:val="24"/>
        <w:u w:val="single"/>
      </w:rPr>
    </w:pPr>
    <w:r>
      <w:tab/>
    </w:r>
  </w:p>
  <w:p w:rsidR="00861F33" w:rsidRPr="00197C5A" w:rsidRDefault="00861F33" w:rsidP="00861F33">
    <w:pPr>
      <w:pStyle w:val="Header"/>
      <w:tabs>
        <w:tab w:val="clear" w:pos="4536"/>
        <w:tab w:val="clear" w:pos="9072"/>
        <w:tab w:val="right" w:pos="8789"/>
      </w:tabs>
      <w:jc w:val="both"/>
      <w:rPr>
        <w:b/>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33" w:rsidRPr="00AD6C1A" w:rsidRDefault="006B31B7" w:rsidP="00861F33">
    <w:pPr>
      <w:pStyle w:val="Header"/>
      <w:tabs>
        <w:tab w:val="clear" w:pos="4536"/>
        <w:tab w:val="clear" w:pos="9072"/>
        <w:tab w:val="right" w:pos="8789"/>
      </w:tabs>
      <w:rPr>
        <w:rFonts w:ascii="Times New Roman" w:hAnsi="Times New Roman"/>
        <w:b/>
        <w:sz w:val="24"/>
        <w:u w:val="single"/>
      </w:rPr>
    </w:pPr>
    <w:r>
      <w:rPr>
        <w:rFonts w:ascii="Times New Roman" w:hAnsi="Times New Roman"/>
        <w:noProof/>
      </w:rPr>
      <w:pict>
        <v:shapetype id="_x0000_t202" coordsize="21600,21600" o:spt="202" path="m,l,21600r21600,l21600,xe">
          <v:stroke joinstyle="miter"/>
          <v:path gradientshapeok="t" o:connecttype="rect"/>
        </v:shapetype>
        <v:shape id="Text Box 6" o:spid="_x0000_s2051" type="#_x0000_t202" style="position:absolute;margin-left:126.55pt;margin-top:-9.75pt;width:387.55pt;height:2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7IJw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" strokecolor="white">
          <v:textbox style="mso-next-textbox:#Text Box 6">
            <w:txbxContent>
              <w:p w:rsidR="00861F33" w:rsidRPr="00373A06" w:rsidRDefault="00861F33" w:rsidP="00861F33">
                <w:pPr>
                  <w:widowControl w:val="0"/>
                  <w:rPr>
                    <w:rFonts w:ascii="Arial" w:hAnsi="Arial" w:cs="Arial"/>
                    <w:b/>
                  </w:rPr>
                </w:pPr>
                <w:r w:rsidRPr="00373A06">
                  <w:rPr>
                    <w:rFonts w:ascii="Arial" w:hAnsi="Arial" w:cs="Arial"/>
                    <w:b/>
                    <w:sz w:val="28"/>
                  </w:rPr>
                  <w:t xml:space="preserve">Biodīzeļdegvielas pārstrādes ķēdes riska analīze </w:t>
                </w:r>
              </w:p>
              <w:p w:rsidR="00861F33" w:rsidRDefault="00861F33"/>
            </w:txbxContent>
          </v:textbox>
        </v:shape>
      </w:pict>
    </w:r>
    <w:r>
      <w:rPr>
        <w:rFonts w:ascii="Times New Roman" w:hAnsi="Times New Roman"/>
        <w:noProof/>
      </w:rPr>
      <w:pict>
        <v:shape id="Text Box 5" o:spid="_x0000_s2050" type="#_x0000_t202" style="position:absolute;margin-left:12.6pt;margin-top:-24.9pt;width:110.25pt;height:102.6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" strokecolor="white">
          <v:textbox style="mso-next-textbox:#Text Box 5;mso-fit-shape-to-text:t">
            <w:txbxContent>
              <w:p w:rsidR="00861F33" w:rsidRPr="00A80199" w:rsidRDefault="00861F33" w:rsidP="00861F33">
                <w:pPr>
                  <w:widowControl w:val="0"/>
                  <w:rPr>
                    <w:rFonts w:ascii="Arial Narrow" w:hAnsi="Arial Narrow"/>
                    <w:color w:val="00B050"/>
                    <w:sz w:val="72"/>
                    <w:szCs w:val="72"/>
                  </w:rPr>
                </w:pPr>
                <w:r>
                  <w:rPr>
                    <w:rFonts w:ascii="Arial Narrow" w:hAnsi="Arial Narrow"/>
                    <w:color w:val="00B050"/>
                    <w:sz w:val="72"/>
                  </w:rPr>
                  <w:t>Barība</w:t>
                </w:r>
              </w:p>
              <w:p w:rsidR="00861F33" w:rsidRDefault="00861F33"/>
            </w:txbxContent>
          </v:textbox>
        </v:shape>
      </w:pict>
    </w:r>
    <w:r w:rsidR="00861F3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33" w:rsidRPr="00197C5A" w:rsidRDefault="006B31B7" w:rsidP="00861F33">
    <w:pPr>
      <w:pStyle w:val="Header"/>
      <w:tabs>
        <w:tab w:val="clear" w:pos="4536"/>
        <w:tab w:val="clear" w:pos="9072"/>
        <w:tab w:val="right" w:pos="8789"/>
      </w:tabs>
      <w:rPr>
        <w:b/>
        <w:sz w:val="24"/>
        <w:u w:val="single"/>
      </w:rPr>
    </w:pPr>
    <w:r>
      <w:rPr>
        <w:noProof/>
      </w:rPr>
      <w:pict>
        <v:shapetype id="_x0000_t202" coordsize="21600,21600" o:spt="202" path="m,l,21600r21600,l21600,xe">
          <v:stroke joinstyle="miter"/>
          <v:path gradientshapeok="t" o:connecttype="rect"/>
        </v:shapetype>
        <v:shape id="Text Box 11" o:spid="_x0000_s2049" type="#_x0000_t202" style="position:absolute;margin-left:644.95pt;margin-top:-14.25pt;width:82.85pt;height:61.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" strokecolor="white">
          <v:textbox style="mso-fit-shape-to-text:t">
            <w:txbxContent>
              <w:p w:rsidR="00861F33" w:rsidRPr="00A80199" w:rsidRDefault="00861F33" w:rsidP="00861F33">
                <w:pPr>
                  <w:widowControl w:val="0"/>
                  <w:rPr>
                    <w:rFonts w:ascii="Arial Narrow" w:hAnsi="Arial Narrow"/>
                    <w:color w:val="00B050"/>
                    <w:sz w:val="72"/>
                    <w:szCs w:val="72"/>
                  </w:rPr>
                </w:pPr>
                <w:r>
                  <w:rPr>
                    <w:rFonts w:ascii="Arial Narrow" w:hAnsi="Arial Narrow"/>
                    <w:color w:val="00B050"/>
                    <w:sz w:val="72"/>
                  </w:rPr>
                  <w:t>Barība</w:t>
                </w:r>
              </w:p>
              <w:p w:rsidR="00861F33" w:rsidRDefault="00861F33"/>
            </w:txbxContent>
          </v:textbox>
        </v:shape>
      </w:pict>
    </w:r>
    <w:r w:rsidR="00861F3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5021_"/>
      </v:shape>
    </w:pict>
  </w:numPicBullet>
  <w:abstractNum w:abstractNumId="0">
    <w:nsid w:val="01CF0966"/>
    <w:multiLevelType w:val="hybridMultilevel"/>
    <w:tmpl w:val="92042C90"/>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24DD7"/>
    <w:multiLevelType w:val="hybridMultilevel"/>
    <w:tmpl w:val="DF9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02577"/>
    <w:multiLevelType w:val="hybridMultilevel"/>
    <w:tmpl w:val="1016982A"/>
    <w:lvl w:ilvl="0" w:tplc="07FCC59E">
      <w:start w:val="1"/>
      <w:numFmt w:val="bullet"/>
      <w:lvlText w:val=""/>
      <w:lvlJc w:val="left"/>
      <w:pPr>
        <w:tabs>
          <w:tab w:val="num" w:pos="717"/>
        </w:tabs>
        <w:ind w:left="717" w:hanging="360"/>
      </w:pPr>
      <w:rPr>
        <w:rFonts w:ascii="Symbol" w:hAnsi="Symbol" w:hint="default"/>
        <w:sz w:val="16"/>
      </w:rPr>
    </w:lvl>
    <w:lvl w:ilvl="1" w:tplc="1F0A041E">
      <w:start w:val="1"/>
      <w:numFmt w:val="bullet"/>
      <w:lvlText w:val="o"/>
      <w:lvlJc w:val="left"/>
      <w:pPr>
        <w:tabs>
          <w:tab w:val="num" w:pos="1443"/>
        </w:tabs>
        <w:ind w:left="1443" w:hanging="363"/>
      </w:pPr>
      <w:rPr>
        <w:rFonts w:ascii="Courier New" w:hAnsi="Courier New" w:cs="Times New Roman"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B6E316B"/>
    <w:multiLevelType w:val="hybridMultilevel"/>
    <w:tmpl w:val="19DC7E10"/>
    <w:lvl w:ilvl="0" w:tplc="0B147844">
      <w:start w:val="1"/>
      <w:numFmt w:val="bullet"/>
      <w:lvlText w:val=""/>
      <w:lvlPicBulletId w:val="0"/>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367462"/>
    <w:multiLevelType w:val="multilevel"/>
    <w:tmpl w:val="69E055C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6">
    <w:nsid w:val="13671280"/>
    <w:multiLevelType w:val="hybridMultilevel"/>
    <w:tmpl w:val="E8104494"/>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8349EB"/>
    <w:multiLevelType w:val="hybridMultilevel"/>
    <w:tmpl w:val="DE54C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81932"/>
    <w:multiLevelType w:val="hybridMultilevel"/>
    <w:tmpl w:val="9FBEE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216B37"/>
    <w:multiLevelType w:val="hybridMultilevel"/>
    <w:tmpl w:val="EA08B8AA"/>
    <w:lvl w:ilvl="0" w:tplc="E336489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ED50BEB"/>
    <w:multiLevelType w:val="multilevel"/>
    <w:tmpl w:val="BD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20EB4"/>
    <w:multiLevelType w:val="multilevel"/>
    <w:tmpl w:val="FBACAE7A"/>
    <w:name w:val="Liste 123"/>
    <w:lvl w:ilvl="0">
      <w:start w:val="1"/>
      <w:numFmt w:val="decimal"/>
      <w:lvlText w:val="%1."/>
      <w:lvlJc w:val="left"/>
      <w:pPr>
        <w:tabs>
          <w:tab w:val="num" w:pos="851"/>
        </w:tabs>
        <w:ind w:left="851" w:hanging="851"/>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21D3494F"/>
    <w:multiLevelType w:val="hybridMultilevel"/>
    <w:tmpl w:val="5B287BA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C51AF8"/>
    <w:multiLevelType w:val="hybridMultilevel"/>
    <w:tmpl w:val="8990C3D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0E319A"/>
    <w:multiLevelType w:val="hybridMultilevel"/>
    <w:tmpl w:val="090201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B5109DD"/>
    <w:multiLevelType w:val="hybridMultilevel"/>
    <w:tmpl w:val="27E4E4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CED4932"/>
    <w:multiLevelType w:val="multilevel"/>
    <w:tmpl w:val="AA60B078"/>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E036CCE"/>
    <w:multiLevelType w:val="hybridMultilevel"/>
    <w:tmpl w:val="C3DE8CCE"/>
    <w:lvl w:ilvl="0" w:tplc="0B147844">
      <w:start w:val="1"/>
      <w:numFmt w:val="bullet"/>
      <w:lvlText w:val=""/>
      <w:lvlPicBulletId w:val="0"/>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EA93891"/>
    <w:multiLevelType w:val="hybridMultilevel"/>
    <w:tmpl w:val="90741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0A97DD7"/>
    <w:multiLevelType w:val="hybridMultilevel"/>
    <w:tmpl w:val="0AF2419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0C1ACC"/>
    <w:multiLevelType w:val="hybridMultilevel"/>
    <w:tmpl w:val="832A619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34140"/>
    <w:multiLevelType w:val="multilevel"/>
    <w:tmpl w:val="D734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7D0A"/>
    <w:multiLevelType w:val="hybridMultilevel"/>
    <w:tmpl w:val="984E5A26"/>
    <w:lvl w:ilvl="0" w:tplc="E336489C">
      <w:numFmt w:val="bullet"/>
      <w:lvlText w:val="-"/>
      <w:lvlJc w:val="left"/>
      <w:pPr>
        <w:ind w:left="2844" w:hanging="360"/>
      </w:pPr>
      <w:rPr>
        <w:rFonts w:ascii="Times New Roman" w:eastAsia="SimSun" w:hAnsi="Times New Roman" w:cs="Times New Roman"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5">
    <w:nsid w:val="3EF6191B"/>
    <w:multiLevelType w:val="hybridMultilevel"/>
    <w:tmpl w:val="D2F47546"/>
    <w:lvl w:ilvl="0" w:tplc="0B147844">
      <w:start w:val="1"/>
      <w:numFmt w:val="bullet"/>
      <w:lvlText w:val=""/>
      <w:lvlPicBulletId w:val="0"/>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0D973B7"/>
    <w:multiLevelType w:val="multilevel"/>
    <w:tmpl w:val="F3FA5612"/>
    <w:lvl w:ilvl="0">
      <w:start w:val="7"/>
      <w:numFmt w:val="decimal"/>
      <w:lvlText w:val="%1"/>
      <w:lvlJc w:val="left"/>
      <w:pPr>
        <w:ind w:left="360" w:hanging="360"/>
      </w:pP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7092" w:hanging="144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10278" w:hanging="1800"/>
      </w:pPr>
      <w:rPr>
        <w:rFonts w:hint="default"/>
      </w:rPr>
    </w:lvl>
    <w:lvl w:ilvl="7">
      <w:start w:val="1"/>
      <w:numFmt w:val="decimal"/>
      <w:lvlText w:val="%1.%2.%3.%4.%5.%6.%7.%8"/>
      <w:lvlJc w:val="left"/>
      <w:pPr>
        <w:ind w:left="12051" w:hanging="2160"/>
      </w:pPr>
      <w:rPr>
        <w:rFonts w:hint="default"/>
      </w:rPr>
    </w:lvl>
    <w:lvl w:ilvl="8">
      <w:start w:val="1"/>
      <w:numFmt w:val="decimal"/>
      <w:lvlText w:val="%1.%2.%3.%4.%5.%6.%7.%8.%9"/>
      <w:lvlJc w:val="left"/>
      <w:pPr>
        <w:ind w:left="13464" w:hanging="2160"/>
      </w:pPr>
      <w:rPr>
        <w:rFonts w:hint="default"/>
      </w:rPr>
    </w:lvl>
  </w:abstractNum>
  <w:abstractNum w:abstractNumId="27">
    <w:nsid w:val="42113FFC"/>
    <w:multiLevelType w:val="hybridMultilevel"/>
    <w:tmpl w:val="44F6DF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74310EB"/>
    <w:multiLevelType w:val="hybridMultilevel"/>
    <w:tmpl w:val="8F0AFE00"/>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7960C2B"/>
    <w:multiLevelType w:val="hybridMultilevel"/>
    <w:tmpl w:val="E9A856C8"/>
    <w:lvl w:ilvl="0" w:tplc="0B147844">
      <w:start w:val="1"/>
      <w:numFmt w:val="bullet"/>
      <w:lvlText w:val=""/>
      <w:lvlPicBulletId w:val="0"/>
      <w:lvlJc w:val="left"/>
      <w:pPr>
        <w:tabs>
          <w:tab w:val="num" w:pos="786"/>
        </w:tabs>
        <w:ind w:left="786" w:hanging="360"/>
      </w:pPr>
      <w:rPr>
        <w:rFonts w:ascii="Symbol" w:hAnsi="Symbol" w:hint="default"/>
        <w:color w:val="auto"/>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30">
    <w:nsid w:val="4B276472"/>
    <w:multiLevelType w:val="hybridMultilevel"/>
    <w:tmpl w:val="442A7BF2"/>
    <w:lvl w:ilvl="0" w:tplc="BFC6C6A4">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hint="default"/>
      </w:rPr>
    </w:lvl>
    <w:lvl w:ilvl="8" w:tplc="040C0005">
      <w:start w:val="1"/>
      <w:numFmt w:val="bullet"/>
      <w:lvlText w:val=""/>
      <w:lvlJc w:val="left"/>
      <w:pPr>
        <w:ind w:left="6971" w:hanging="360"/>
      </w:pPr>
      <w:rPr>
        <w:rFonts w:ascii="Wingdings" w:hAnsi="Wingdings" w:hint="default"/>
      </w:rPr>
    </w:lvl>
  </w:abstractNum>
  <w:abstractNum w:abstractNumId="31">
    <w:nsid w:val="4DBC61F7"/>
    <w:multiLevelType w:val="hybridMultilevel"/>
    <w:tmpl w:val="0A129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F5231E8"/>
    <w:multiLevelType w:val="hybridMultilevel"/>
    <w:tmpl w:val="2188E13A"/>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7C303D"/>
    <w:multiLevelType w:val="hybridMultilevel"/>
    <w:tmpl w:val="7C2AEF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8E7D43"/>
    <w:multiLevelType w:val="hybridMultilevel"/>
    <w:tmpl w:val="D222FCCC"/>
    <w:lvl w:ilvl="0" w:tplc="ED928788">
      <w:start w:val="1"/>
      <w:numFmt w:val="decimal"/>
      <w:lvlText w:val="%1."/>
      <w:lvlJc w:val="left"/>
      <w:pPr>
        <w:ind w:left="720" w:hanging="360"/>
      </w:pPr>
      <w:rPr>
        <w:rFonts w:ascii="Arial Rounded MT Bold" w:hAnsi="Arial Rounded MT Bold" w:cs="Times New Roman"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7225C"/>
    <w:multiLevelType w:val="multilevel"/>
    <w:tmpl w:val="D90E87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CB82A6C"/>
    <w:multiLevelType w:val="hybridMultilevel"/>
    <w:tmpl w:val="4E04819C"/>
    <w:lvl w:ilvl="0" w:tplc="4C1C29C8">
      <w:start w:val="1"/>
      <w:numFmt w:val="bullet"/>
      <w:lvlText w:val="-"/>
      <w:lvlJc w:val="left"/>
      <w:pPr>
        <w:ind w:left="1215" w:hanging="360"/>
      </w:pPr>
      <w:rPr>
        <w:rFonts w:ascii="Times New Roman" w:eastAsia="Times New Roman" w:hAnsi="Times New Roman" w:hint="default"/>
      </w:rPr>
    </w:lvl>
    <w:lvl w:ilvl="1" w:tplc="56AEDBFE">
      <w:start w:val="1"/>
      <w:numFmt w:val="bullet"/>
      <w:lvlText w:val="o"/>
      <w:lvlJc w:val="left"/>
      <w:pPr>
        <w:ind w:left="1935" w:hanging="360"/>
      </w:pPr>
      <w:rPr>
        <w:rFonts w:ascii="Courier New" w:hAnsi="Courier New" w:hint="default"/>
      </w:rPr>
    </w:lvl>
    <w:lvl w:ilvl="2" w:tplc="1ECCB98E">
      <w:start w:val="1"/>
      <w:numFmt w:val="bullet"/>
      <w:lvlText w:val=""/>
      <w:lvlJc w:val="left"/>
      <w:pPr>
        <w:ind w:left="2655" w:hanging="360"/>
      </w:pPr>
      <w:rPr>
        <w:rFonts w:ascii="Wingdings" w:hAnsi="Wingdings" w:hint="default"/>
      </w:rPr>
    </w:lvl>
    <w:lvl w:ilvl="3" w:tplc="189EA8E6">
      <w:start w:val="1"/>
      <w:numFmt w:val="bullet"/>
      <w:lvlText w:val=""/>
      <w:lvlJc w:val="left"/>
      <w:pPr>
        <w:ind w:left="3375" w:hanging="360"/>
      </w:pPr>
      <w:rPr>
        <w:rFonts w:ascii="Symbol" w:hAnsi="Symbol" w:hint="default"/>
      </w:rPr>
    </w:lvl>
    <w:lvl w:ilvl="4" w:tplc="F8D00176">
      <w:start w:val="1"/>
      <w:numFmt w:val="bullet"/>
      <w:lvlText w:val="o"/>
      <w:lvlJc w:val="left"/>
      <w:pPr>
        <w:ind w:left="4095" w:hanging="360"/>
      </w:pPr>
      <w:rPr>
        <w:rFonts w:ascii="Courier New" w:hAnsi="Courier New" w:hint="default"/>
      </w:rPr>
    </w:lvl>
    <w:lvl w:ilvl="5" w:tplc="573E3914">
      <w:start w:val="1"/>
      <w:numFmt w:val="bullet"/>
      <w:lvlText w:val=""/>
      <w:lvlJc w:val="left"/>
      <w:pPr>
        <w:ind w:left="4815" w:hanging="360"/>
      </w:pPr>
      <w:rPr>
        <w:rFonts w:ascii="Wingdings" w:hAnsi="Wingdings" w:hint="default"/>
      </w:rPr>
    </w:lvl>
    <w:lvl w:ilvl="6" w:tplc="3C12D694">
      <w:start w:val="1"/>
      <w:numFmt w:val="bullet"/>
      <w:lvlText w:val=""/>
      <w:lvlJc w:val="left"/>
      <w:pPr>
        <w:ind w:left="5535" w:hanging="360"/>
      </w:pPr>
      <w:rPr>
        <w:rFonts w:ascii="Symbol" w:hAnsi="Symbol" w:hint="default"/>
      </w:rPr>
    </w:lvl>
    <w:lvl w:ilvl="7" w:tplc="91526BC2">
      <w:start w:val="1"/>
      <w:numFmt w:val="bullet"/>
      <w:lvlText w:val="o"/>
      <w:lvlJc w:val="left"/>
      <w:pPr>
        <w:ind w:left="6255" w:hanging="360"/>
      </w:pPr>
      <w:rPr>
        <w:rFonts w:ascii="Courier New" w:hAnsi="Courier New" w:hint="default"/>
      </w:rPr>
    </w:lvl>
    <w:lvl w:ilvl="8" w:tplc="4B0C7982">
      <w:start w:val="1"/>
      <w:numFmt w:val="bullet"/>
      <w:lvlText w:val=""/>
      <w:lvlJc w:val="left"/>
      <w:pPr>
        <w:ind w:left="6975" w:hanging="360"/>
      </w:pPr>
      <w:rPr>
        <w:rFonts w:ascii="Wingdings" w:hAnsi="Wingdings" w:hint="default"/>
      </w:rPr>
    </w:lvl>
  </w:abstractNum>
  <w:abstractNum w:abstractNumId="37">
    <w:nsid w:val="6CC642F4"/>
    <w:multiLevelType w:val="hybridMultilevel"/>
    <w:tmpl w:val="FBF6D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D1F1396"/>
    <w:multiLevelType w:val="hybridMultilevel"/>
    <w:tmpl w:val="4622D558"/>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085655E"/>
    <w:multiLevelType w:val="hybridMultilevel"/>
    <w:tmpl w:val="0F80EF90"/>
    <w:lvl w:ilvl="0" w:tplc="0B147844">
      <w:start w:val="1"/>
      <w:numFmt w:val="bullet"/>
      <w:lvlText w:val=""/>
      <w:lvlPicBulletId w:val="0"/>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3443E62"/>
    <w:multiLevelType w:val="hybridMultilevel"/>
    <w:tmpl w:val="FD88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5"/>
  </w:num>
  <w:num w:numId="4">
    <w:abstractNumId w:val="32"/>
  </w:num>
  <w:num w:numId="5">
    <w:abstractNumId w:val="0"/>
  </w:num>
  <w:num w:numId="6">
    <w:abstractNumId w:val="33"/>
  </w:num>
  <w:num w:numId="7">
    <w:abstractNumId w:val="13"/>
  </w:num>
  <w:num w:numId="8">
    <w:abstractNumId w:val="39"/>
  </w:num>
  <w:num w:numId="9">
    <w:abstractNumId w:val="23"/>
  </w:num>
  <w:num w:numId="10">
    <w:abstractNumId w:val="9"/>
  </w:num>
  <w:num w:numId="11">
    <w:abstractNumId w:val="12"/>
  </w:num>
  <w:num w:numId="12">
    <w:abstractNumId w:val="36"/>
  </w:num>
  <w:num w:numId="13">
    <w:abstractNumId w:val="30"/>
  </w:num>
  <w:num w:numId="14">
    <w:abstractNumId w:val="7"/>
  </w:num>
  <w:num w:numId="15">
    <w:abstractNumId w:val="1"/>
  </w:num>
  <w:num w:numId="16">
    <w:abstractNumId w:val="19"/>
  </w:num>
  <w:num w:numId="17">
    <w:abstractNumId w:val="31"/>
  </w:num>
  <w:num w:numId="18">
    <w:abstractNumId w:val="2"/>
  </w:num>
  <w:num w:numId="19">
    <w:abstractNumId w:val="37"/>
  </w:num>
  <w:num w:numId="20">
    <w:abstractNumId w:val="4"/>
  </w:num>
  <w:num w:numId="21">
    <w:abstractNumId w:val="42"/>
  </w:num>
  <w:num w:numId="22">
    <w:abstractNumId w:val="28"/>
  </w:num>
  <w:num w:numId="23">
    <w:abstractNumId w:val="16"/>
  </w:num>
  <w:num w:numId="24">
    <w:abstractNumId w:val="6"/>
  </w:num>
  <w:num w:numId="25">
    <w:abstractNumId w:val="24"/>
  </w:num>
  <w:num w:numId="26">
    <w:abstractNumId w:val="34"/>
  </w:num>
  <w:num w:numId="27">
    <w:abstractNumId w:val="17"/>
  </w:num>
  <w:num w:numId="28">
    <w:abstractNumId w:val="35"/>
    <w:lvlOverride w:ilvl="0">
      <w:startOverride w:val="6"/>
    </w:lvlOverride>
  </w:num>
  <w:num w:numId="29">
    <w:abstractNumId w:val="11"/>
  </w:num>
  <w:num w:numId="30">
    <w:abstractNumId w:val="15"/>
  </w:num>
  <w:num w:numId="31">
    <w:abstractNumId w:val="22"/>
  </w:num>
  <w:num w:numId="32">
    <w:abstractNumId w:val="10"/>
  </w:num>
  <w:num w:numId="33">
    <w:abstractNumId w:val="38"/>
  </w:num>
  <w:num w:numId="34">
    <w:abstractNumId w:val="40"/>
  </w:num>
  <w:num w:numId="35">
    <w:abstractNumId w:val="5"/>
  </w:num>
  <w:num w:numId="36">
    <w:abstractNumId w:val="26"/>
  </w:num>
  <w:num w:numId="37">
    <w:abstractNumId w:val="14"/>
  </w:num>
  <w:num w:numId="38">
    <w:abstractNumId w:val="27"/>
  </w:num>
  <w:num w:numId="39">
    <w:abstractNumId w:val="21"/>
  </w:num>
  <w:num w:numId="40">
    <w:abstractNumId w:val="41"/>
  </w:num>
  <w:num w:numId="41">
    <w:abstractNumId w:val="25"/>
  </w:num>
  <w:num w:numId="42">
    <w:abstractNumId w:val="3"/>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DC7DEC"/>
    <w:rsid w:val="00076DF5"/>
    <w:rsid w:val="000864B4"/>
    <w:rsid w:val="000C3CE3"/>
    <w:rsid w:val="000D3DB5"/>
    <w:rsid w:val="000D5083"/>
    <w:rsid w:val="0010555A"/>
    <w:rsid w:val="00194198"/>
    <w:rsid w:val="001A7199"/>
    <w:rsid w:val="001D64C5"/>
    <w:rsid w:val="00233EA3"/>
    <w:rsid w:val="00263867"/>
    <w:rsid w:val="002C62A8"/>
    <w:rsid w:val="00357456"/>
    <w:rsid w:val="00373A06"/>
    <w:rsid w:val="004E1B14"/>
    <w:rsid w:val="00587DB9"/>
    <w:rsid w:val="005B318D"/>
    <w:rsid w:val="00636578"/>
    <w:rsid w:val="006B31B7"/>
    <w:rsid w:val="006B7475"/>
    <w:rsid w:val="00723D28"/>
    <w:rsid w:val="00727EF8"/>
    <w:rsid w:val="0075432F"/>
    <w:rsid w:val="00820A21"/>
    <w:rsid w:val="0082690F"/>
    <w:rsid w:val="00851557"/>
    <w:rsid w:val="00861F33"/>
    <w:rsid w:val="00891750"/>
    <w:rsid w:val="009B2EAB"/>
    <w:rsid w:val="009C27DC"/>
    <w:rsid w:val="00A062C1"/>
    <w:rsid w:val="00A12E2F"/>
    <w:rsid w:val="00A20C5C"/>
    <w:rsid w:val="00A30C1C"/>
    <w:rsid w:val="00A5447F"/>
    <w:rsid w:val="00A75F76"/>
    <w:rsid w:val="00AD6C1A"/>
    <w:rsid w:val="00B57AB7"/>
    <w:rsid w:val="00B91000"/>
    <w:rsid w:val="00BE2204"/>
    <w:rsid w:val="00C327E6"/>
    <w:rsid w:val="00C477C2"/>
    <w:rsid w:val="00CD3EEC"/>
    <w:rsid w:val="00CE6E17"/>
    <w:rsid w:val="00D51E61"/>
    <w:rsid w:val="00D850B8"/>
    <w:rsid w:val="00DC7DEC"/>
    <w:rsid w:val="00DD1F2D"/>
    <w:rsid w:val="00DD7BC4"/>
    <w:rsid w:val="00E350CD"/>
    <w:rsid w:val="00EF469E"/>
    <w:rsid w:val="00F82802"/>
    <w:rsid w:val="00F83C1C"/>
    <w:rsid w:val="00F936F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EC"/>
    <w:pPr>
      <w:spacing w:after="0" w:line="240" w:lineRule="auto"/>
    </w:pPr>
    <w:rPr>
      <w:rFonts w:ascii="Tahoma" w:eastAsia="Times New Roman" w:hAnsi="Tahoma" w:cs="Times New Roman"/>
      <w:sz w:val="20"/>
      <w:szCs w:val="24"/>
    </w:rPr>
  </w:style>
  <w:style w:type="paragraph" w:styleId="Heading1">
    <w:name w:val="heading 1"/>
    <w:basedOn w:val="Normal"/>
    <w:next w:val="Normal"/>
    <w:link w:val="Heading1Char"/>
    <w:uiPriority w:val="9"/>
    <w:qFormat/>
    <w:rsid w:val="00DC7DEC"/>
    <w:pPr>
      <w:keepNext/>
      <w:numPr>
        <w:numId w:val="3"/>
      </w:numPr>
      <w:outlineLvl w:val="0"/>
    </w:pPr>
    <w:rPr>
      <w:b/>
      <w:bCs/>
      <w:kern w:val="32"/>
      <w:sz w:val="24"/>
      <w:szCs w:val="32"/>
    </w:rPr>
  </w:style>
  <w:style w:type="paragraph" w:styleId="Heading2">
    <w:name w:val="heading 2"/>
    <w:basedOn w:val="Normal"/>
    <w:next w:val="Normal"/>
    <w:link w:val="Heading2Char"/>
    <w:qFormat/>
    <w:rsid w:val="00DC7DEC"/>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link w:val="Heading3Char"/>
    <w:qFormat/>
    <w:rsid w:val="00DC7DEC"/>
    <w:pPr>
      <w:keepNext/>
      <w:numPr>
        <w:ilvl w:val="2"/>
        <w:numId w:val="3"/>
      </w:numPr>
      <w:ind w:left="1440"/>
      <w:outlineLvl w:val="2"/>
    </w:pPr>
    <w:rPr>
      <w:rFonts w:cs="Arial"/>
      <w:bCs/>
      <w:szCs w:val="26"/>
    </w:rPr>
  </w:style>
  <w:style w:type="paragraph" w:styleId="Heading4">
    <w:name w:val="heading 4"/>
    <w:basedOn w:val="Normal"/>
    <w:next w:val="Normal"/>
    <w:link w:val="Heading4Char"/>
    <w:qFormat/>
    <w:rsid w:val="00DC7DEC"/>
    <w:pPr>
      <w:keepNext/>
      <w:numPr>
        <w:ilvl w:val="3"/>
        <w:numId w:val="3"/>
      </w:numPr>
      <w:spacing w:before="240" w:after="60"/>
      <w:ind w:left="1372" w:hanging="862"/>
      <w:outlineLvl w:val="3"/>
    </w:pPr>
    <w:rPr>
      <w:bCs/>
      <w:szCs w:val="28"/>
    </w:rPr>
  </w:style>
  <w:style w:type="paragraph" w:styleId="Heading5">
    <w:name w:val="heading 5"/>
    <w:basedOn w:val="Normal"/>
    <w:next w:val="Normal"/>
    <w:link w:val="Heading5Char"/>
    <w:qFormat/>
    <w:rsid w:val="00DC7DE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DC7DEC"/>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C7DEC"/>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DC7DEC"/>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C7DE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EC"/>
    <w:rPr>
      <w:rFonts w:ascii="Tahoma" w:eastAsia="Times New Roman" w:hAnsi="Tahoma" w:cs="Times New Roman"/>
      <w:b/>
      <w:bCs/>
      <w:kern w:val="32"/>
      <w:sz w:val="24"/>
      <w:szCs w:val="32"/>
      <w:lang w:val="lv-LV" w:eastAsia="lv-LV"/>
    </w:rPr>
  </w:style>
  <w:style w:type="character" w:customStyle="1" w:styleId="Heading2Char">
    <w:name w:val="Heading 2 Char"/>
    <w:basedOn w:val="DefaultParagraphFont"/>
    <w:link w:val="Heading2"/>
    <w:rsid w:val="00DC7DEC"/>
    <w:rPr>
      <w:rFonts w:ascii="Tahoma" w:eastAsia="Times New Roman" w:hAnsi="Tahoma" w:cs="Arial"/>
      <w:b/>
      <w:bCs/>
      <w:iCs/>
      <w:sz w:val="20"/>
      <w:szCs w:val="20"/>
      <w:lang w:val="lv-LV" w:eastAsia="lv-LV"/>
    </w:rPr>
  </w:style>
  <w:style w:type="character" w:customStyle="1" w:styleId="Heading3Char">
    <w:name w:val="Heading 3 Char"/>
    <w:basedOn w:val="DefaultParagraphFont"/>
    <w:link w:val="Heading3"/>
    <w:rsid w:val="00DC7DEC"/>
    <w:rPr>
      <w:rFonts w:ascii="Tahoma" w:eastAsia="Times New Roman" w:hAnsi="Tahoma" w:cs="Arial"/>
      <w:bCs/>
      <w:sz w:val="20"/>
      <w:szCs w:val="26"/>
      <w:lang w:val="lv-LV" w:eastAsia="lv-LV"/>
    </w:rPr>
  </w:style>
  <w:style w:type="character" w:customStyle="1" w:styleId="Heading4Char">
    <w:name w:val="Heading 4 Char"/>
    <w:basedOn w:val="DefaultParagraphFont"/>
    <w:link w:val="Heading4"/>
    <w:rsid w:val="00DC7DEC"/>
    <w:rPr>
      <w:rFonts w:ascii="Tahoma" w:eastAsia="Times New Roman" w:hAnsi="Tahoma" w:cs="Times New Roman"/>
      <w:bCs/>
      <w:sz w:val="20"/>
      <w:szCs w:val="28"/>
      <w:lang w:val="lv-LV" w:eastAsia="lv-LV"/>
    </w:rPr>
  </w:style>
  <w:style w:type="character" w:customStyle="1" w:styleId="Heading5Char">
    <w:name w:val="Heading 5 Char"/>
    <w:basedOn w:val="DefaultParagraphFont"/>
    <w:link w:val="Heading5"/>
    <w:rsid w:val="00DC7DEC"/>
    <w:rPr>
      <w:rFonts w:ascii="Tahoma" w:eastAsia="Times New Roman" w:hAnsi="Tahoma" w:cs="Times New Roman"/>
      <w:b/>
      <w:bCs/>
      <w:i/>
      <w:iCs/>
      <w:sz w:val="26"/>
      <w:szCs w:val="26"/>
      <w:lang w:val="lv-LV" w:eastAsia="lv-LV"/>
    </w:rPr>
  </w:style>
  <w:style w:type="character" w:customStyle="1" w:styleId="Heading6Char">
    <w:name w:val="Heading 6 Char"/>
    <w:basedOn w:val="DefaultParagraphFont"/>
    <w:link w:val="Heading6"/>
    <w:rsid w:val="00DC7DEC"/>
    <w:rPr>
      <w:rFonts w:ascii="Times New Roman" w:eastAsia="Times New Roman" w:hAnsi="Times New Roman" w:cs="Times New Roman"/>
      <w:b/>
      <w:bCs/>
      <w:lang w:val="lv-LV" w:eastAsia="lv-LV"/>
    </w:rPr>
  </w:style>
  <w:style w:type="character" w:customStyle="1" w:styleId="Heading7Char">
    <w:name w:val="Heading 7 Char"/>
    <w:basedOn w:val="DefaultParagraphFont"/>
    <w:link w:val="Heading7"/>
    <w:rsid w:val="00DC7DEC"/>
    <w:rPr>
      <w:rFonts w:ascii="Times New Roman" w:eastAsia="Times New Roman" w:hAnsi="Times New Roman" w:cs="Times New Roman"/>
      <w:sz w:val="24"/>
      <w:szCs w:val="24"/>
      <w:lang w:val="lv-LV" w:eastAsia="lv-LV"/>
    </w:rPr>
  </w:style>
  <w:style w:type="character" w:customStyle="1" w:styleId="Heading8Char">
    <w:name w:val="Heading 8 Char"/>
    <w:basedOn w:val="DefaultParagraphFont"/>
    <w:link w:val="Heading8"/>
    <w:rsid w:val="00DC7DEC"/>
    <w:rPr>
      <w:rFonts w:ascii="Times New Roman" w:eastAsia="Times New Roman" w:hAnsi="Times New Roman" w:cs="Times New Roman"/>
      <w:i/>
      <w:iCs/>
      <w:sz w:val="24"/>
      <w:szCs w:val="24"/>
      <w:lang w:val="lv-LV" w:eastAsia="lv-LV"/>
    </w:rPr>
  </w:style>
  <w:style w:type="character" w:customStyle="1" w:styleId="Heading9Char">
    <w:name w:val="Heading 9 Char"/>
    <w:basedOn w:val="DefaultParagraphFont"/>
    <w:link w:val="Heading9"/>
    <w:rsid w:val="00DC7DEC"/>
    <w:rPr>
      <w:rFonts w:ascii="Arial" w:eastAsia="Times New Roman" w:hAnsi="Arial" w:cs="Arial"/>
      <w:lang w:val="lv-LV" w:eastAsia="lv-LV"/>
    </w:rPr>
  </w:style>
  <w:style w:type="character" w:styleId="FollowedHyperlink">
    <w:name w:val="FollowedHyperlink"/>
    <w:rsid w:val="00DC7DEC"/>
    <w:rPr>
      <w:color w:val="800080"/>
      <w:u w:val="single"/>
    </w:rPr>
  </w:style>
  <w:style w:type="paragraph" w:styleId="E-mailSignature">
    <w:name w:val="E-mail Signature"/>
    <w:basedOn w:val="Normal"/>
    <w:link w:val="E-mailSignatureChar"/>
    <w:rsid w:val="00DC7DEC"/>
  </w:style>
  <w:style w:type="character" w:customStyle="1" w:styleId="E-mailSignatureChar">
    <w:name w:val="E-mail Signature Char"/>
    <w:basedOn w:val="DefaultParagraphFont"/>
    <w:link w:val="E-mailSignature"/>
    <w:rsid w:val="00DC7DEC"/>
    <w:rPr>
      <w:rFonts w:ascii="Tahoma" w:eastAsia="Times New Roman" w:hAnsi="Tahoma" w:cs="Times New Roman"/>
      <w:sz w:val="20"/>
      <w:szCs w:val="24"/>
      <w:lang w:val="lv-LV" w:eastAsia="lv-LV"/>
    </w:rPr>
  </w:style>
  <w:style w:type="character" w:styleId="Strong">
    <w:name w:val="Strong"/>
    <w:uiPriority w:val="22"/>
    <w:qFormat/>
    <w:rsid w:val="00DC7DEC"/>
    <w:rPr>
      <w:b/>
      <w:bCs/>
    </w:rPr>
  </w:style>
  <w:style w:type="character" w:styleId="Emphasis">
    <w:name w:val="Emphasis"/>
    <w:qFormat/>
    <w:rsid w:val="00DC7DEC"/>
    <w:rPr>
      <w:i/>
      <w:iCs/>
    </w:rPr>
  </w:style>
  <w:style w:type="character" w:styleId="Hyperlink">
    <w:name w:val="Hyperlink"/>
    <w:uiPriority w:val="99"/>
    <w:rsid w:val="00DC7DEC"/>
    <w:rPr>
      <w:color w:val="0000FF"/>
      <w:u w:val="single"/>
    </w:rPr>
  </w:style>
  <w:style w:type="paragraph" w:styleId="Footer">
    <w:name w:val="footer"/>
    <w:basedOn w:val="Normal"/>
    <w:link w:val="FooterChar"/>
    <w:rsid w:val="00DC7DEC"/>
    <w:pPr>
      <w:tabs>
        <w:tab w:val="center" w:pos="4153"/>
        <w:tab w:val="right" w:pos="8306"/>
      </w:tabs>
    </w:pPr>
  </w:style>
  <w:style w:type="character" w:customStyle="1" w:styleId="FooterChar">
    <w:name w:val="Footer Char"/>
    <w:basedOn w:val="DefaultParagraphFont"/>
    <w:link w:val="Footer"/>
    <w:rsid w:val="00DC7DEC"/>
    <w:rPr>
      <w:rFonts w:ascii="Tahoma" w:eastAsia="Times New Roman" w:hAnsi="Tahoma" w:cs="Times New Roman"/>
      <w:sz w:val="20"/>
      <w:szCs w:val="24"/>
      <w:lang w:val="lv-LV" w:eastAsia="lv-LV"/>
    </w:rPr>
  </w:style>
  <w:style w:type="character" w:styleId="PageNumber">
    <w:name w:val="page number"/>
    <w:basedOn w:val="DefaultParagraphFont"/>
    <w:rsid w:val="00DC7DEC"/>
  </w:style>
  <w:style w:type="paragraph" w:styleId="EndnoteText">
    <w:name w:val="endnote text"/>
    <w:basedOn w:val="Normal"/>
    <w:link w:val="EndnoteTextChar"/>
    <w:semiHidden/>
    <w:rsid w:val="00DC7DEC"/>
    <w:rPr>
      <w:szCs w:val="20"/>
    </w:rPr>
  </w:style>
  <w:style w:type="character" w:customStyle="1" w:styleId="EndnoteTextChar">
    <w:name w:val="Endnote Text Char"/>
    <w:basedOn w:val="DefaultParagraphFont"/>
    <w:link w:val="EndnoteText"/>
    <w:semiHidden/>
    <w:rsid w:val="00DC7DEC"/>
    <w:rPr>
      <w:rFonts w:ascii="Tahoma" w:eastAsia="Times New Roman" w:hAnsi="Tahoma" w:cs="Times New Roman"/>
      <w:sz w:val="20"/>
      <w:szCs w:val="20"/>
      <w:lang w:val="lv-LV" w:eastAsia="lv-LV"/>
    </w:rPr>
  </w:style>
  <w:style w:type="character" w:styleId="EndnoteReference">
    <w:name w:val="endnote reference"/>
    <w:semiHidden/>
    <w:rsid w:val="00DC7DEC"/>
    <w:rPr>
      <w:vertAlign w:val="superscript"/>
    </w:rPr>
  </w:style>
  <w:style w:type="paragraph" w:styleId="TOC1">
    <w:name w:val="toc 1"/>
    <w:basedOn w:val="Normal"/>
    <w:next w:val="Normal"/>
    <w:autoRedefine/>
    <w:uiPriority w:val="39"/>
    <w:rsid w:val="00DC7DEC"/>
    <w:pPr>
      <w:tabs>
        <w:tab w:val="left" w:pos="480"/>
        <w:tab w:val="right" w:leader="dot" w:pos="8828"/>
      </w:tabs>
    </w:pPr>
    <w:rPr>
      <w:rFonts w:ascii="Verdana" w:hAnsi="Verdana"/>
      <w:b/>
      <w:noProof/>
    </w:rPr>
  </w:style>
  <w:style w:type="paragraph" w:styleId="TOC2">
    <w:name w:val="toc 2"/>
    <w:basedOn w:val="Normal"/>
    <w:next w:val="Normal"/>
    <w:autoRedefine/>
    <w:uiPriority w:val="39"/>
    <w:rsid w:val="00DC7DEC"/>
    <w:pPr>
      <w:ind w:left="200"/>
    </w:pPr>
  </w:style>
  <w:style w:type="paragraph" w:styleId="TOC3">
    <w:name w:val="toc 3"/>
    <w:basedOn w:val="Normal"/>
    <w:next w:val="Normal"/>
    <w:autoRedefine/>
    <w:uiPriority w:val="39"/>
    <w:rsid w:val="00DC7DEC"/>
    <w:pPr>
      <w:tabs>
        <w:tab w:val="left" w:pos="1200"/>
        <w:tab w:val="right" w:leader="dot" w:pos="8828"/>
      </w:tabs>
      <w:ind w:left="200"/>
    </w:pPr>
  </w:style>
  <w:style w:type="paragraph" w:styleId="BalloonText">
    <w:name w:val="Balloon Text"/>
    <w:basedOn w:val="Normal"/>
    <w:link w:val="BalloonTextChar"/>
    <w:semiHidden/>
    <w:rsid w:val="00DC7DEC"/>
    <w:rPr>
      <w:rFonts w:cs="Tahoma"/>
      <w:sz w:val="16"/>
      <w:szCs w:val="16"/>
    </w:rPr>
  </w:style>
  <w:style w:type="character" w:customStyle="1" w:styleId="BalloonTextChar">
    <w:name w:val="Balloon Text Char"/>
    <w:basedOn w:val="DefaultParagraphFont"/>
    <w:link w:val="BalloonText"/>
    <w:semiHidden/>
    <w:rsid w:val="00DC7DEC"/>
    <w:rPr>
      <w:rFonts w:ascii="Tahoma" w:eastAsia="Times New Roman" w:hAnsi="Tahoma" w:cs="Tahoma"/>
      <w:sz w:val="16"/>
      <w:szCs w:val="16"/>
      <w:lang w:val="lv-LV" w:eastAsia="lv-LV"/>
    </w:rPr>
  </w:style>
  <w:style w:type="paragraph" w:styleId="Header">
    <w:name w:val="header"/>
    <w:basedOn w:val="Normal"/>
    <w:link w:val="HeaderChar"/>
    <w:rsid w:val="00DC7DEC"/>
    <w:pPr>
      <w:tabs>
        <w:tab w:val="center" w:pos="4536"/>
        <w:tab w:val="right" w:pos="9072"/>
      </w:tabs>
    </w:pPr>
  </w:style>
  <w:style w:type="character" w:customStyle="1" w:styleId="HeaderChar">
    <w:name w:val="Header Char"/>
    <w:basedOn w:val="DefaultParagraphFont"/>
    <w:link w:val="Header"/>
    <w:rsid w:val="00DC7DEC"/>
    <w:rPr>
      <w:rFonts w:ascii="Tahoma" w:eastAsia="Times New Roman" w:hAnsi="Tahoma" w:cs="Times New Roman"/>
      <w:sz w:val="20"/>
      <w:szCs w:val="24"/>
      <w:lang w:val="lv-LV" w:eastAsia="lv-LV"/>
    </w:rPr>
  </w:style>
  <w:style w:type="paragraph" w:styleId="NormalWeb">
    <w:name w:val="Normal (Web)"/>
    <w:basedOn w:val="Normal"/>
    <w:uiPriority w:val="99"/>
    <w:unhideWhenUsed/>
    <w:rsid w:val="00DC7DEC"/>
    <w:pPr>
      <w:spacing w:before="100" w:beforeAutospacing="1" w:after="100" w:afterAutospacing="1"/>
    </w:pPr>
    <w:rPr>
      <w:rFonts w:cs="Tahoma"/>
      <w:color w:val="000000"/>
      <w:szCs w:val="20"/>
    </w:rPr>
  </w:style>
  <w:style w:type="paragraph" w:styleId="BodyText">
    <w:name w:val="Body Text"/>
    <w:basedOn w:val="Normal"/>
    <w:link w:val="BodyTextChar"/>
    <w:rsid w:val="00DC7DEC"/>
    <w:pPr>
      <w:jc w:val="both"/>
    </w:pPr>
    <w:rPr>
      <w:rFonts w:eastAsia="SimSun"/>
    </w:rPr>
  </w:style>
  <w:style w:type="character" w:customStyle="1" w:styleId="BodyTextChar">
    <w:name w:val="Body Text Char"/>
    <w:basedOn w:val="DefaultParagraphFont"/>
    <w:link w:val="BodyText"/>
    <w:rsid w:val="00DC7DEC"/>
    <w:rPr>
      <w:rFonts w:ascii="Tahoma" w:eastAsia="SimSun" w:hAnsi="Tahoma" w:cs="Times New Roman"/>
      <w:sz w:val="20"/>
      <w:szCs w:val="24"/>
      <w:lang w:val="lv-LV"/>
    </w:rPr>
  </w:style>
  <w:style w:type="paragraph" w:styleId="NoSpacing">
    <w:name w:val="No Spacing"/>
    <w:uiPriority w:val="1"/>
    <w:qFormat/>
    <w:rsid w:val="00DC7DEC"/>
    <w:pPr>
      <w:spacing w:after="0" w:line="240" w:lineRule="auto"/>
      <w:jc w:val="both"/>
    </w:pPr>
    <w:rPr>
      <w:rFonts w:ascii="Tahoma" w:eastAsia="Calibri" w:hAnsi="Tahoma" w:cs="Times New Roman"/>
      <w:sz w:val="20"/>
    </w:rPr>
  </w:style>
  <w:style w:type="paragraph" w:customStyle="1" w:styleId="Corpsdetexte6">
    <w:name w:val="Corps de texte 6"/>
    <w:basedOn w:val="Normal"/>
    <w:rsid w:val="00DC7DEC"/>
    <w:pPr>
      <w:spacing w:after="240"/>
      <w:ind w:left="1985"/>
      <w:jc w:val="both"/>
    </w:pPr>
    <w:rPr>
      <w:rFonts w:ascii="Times New Roman" w:hAnsi="Times New Roman"/>
      <w:sz w:val="22"/>
      <w:szCs w:val="22"/>
    </w:rPr>
  </w:style>
  <w:style w:type="paragraph" w:customStyle="1" w:styleId="Liste1">
    <w:name w:val="Liste 1"/>
    <w:basedOn w:val="Normal"/>
    <w:next w:val="BodyText"/>
    <w:rsid w:val="00DC7DEC"/>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DC7DEC"/>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basedOn w:val="DefaultParagraphFont"/>
    <w:link w:val="FootnoteText"/>
    <w:rsid w:val="00DC7DEC"/>
    <w:rPr>
      <w:rFonts w:ascii="Times New Roman" w:eastAsia="Times New Roman" w:hAnsi="Times New Roman" w:cs="Times New Roman"/>
      <w:sz w:val="20"/>
      <w:szCs w:val="20"/>
      <w:lang w:val="lv-LV" w:eastAsia="lv-LV"/>
    </w:rPr>
  </w:style>
  <w:style w:type="character" w:styleId="FootnoteReference">
    <w:name w:val="footnote reference"/>
    <w:aliases w:val="Footnote number"/>
    <w:rsid w:val="00DC7DEC"/>
    <w:rPr>
      <w:rFonts w:cs="Times New Roman"/>
      <w:vertAlign w:val="superscript"/>
    </w:rPr>
  </w:style>
  <w:style w:type="paragraph" w:customStyle="1" w:styleId="CM1">
    <w:name w:val="CM1"/>
    <w:basedOn w:val="Normal"/>
    <w:next w:val="Normal"/>
    <w:uiPriority w:val="99"/>
    <w:rsid w:val="00DC7DEC"/>
    <w:pPr>
      <w:autoSpaceDE w:val="0"/>
      <w:autoSpaceDN w:val="0"/>
      <w:adjustRightInd w:val="0"/>
    </w:pPr>
    <w:rPr>
      <w:rFonts w:ascii="EUAlbertina" w:hAnsi="EUAlbertina"/>
      <w:sz w:val="24"/>
    </w:rPr>
  </w:style>
  <w:style w:type="paragraph" w:customStyle="1" w:styleId="CM3">
    <w:name w:val="CM3"/>
    <w:basedOn w:val="Normal"/>
    <w:next w:val="Normal"/>
    <w:uiPriority w:val="99"/>
    <w:rsid w:val="00DC7DEC"/>
    <w:pPr>
      <w:autoSpaceDE w:val="0"/>
      <w:autoSpaceDN w:val="0"/>
      <w:adjustRightInd w:val="0"/>
    </w:pPr>
    <w:rPr>
      <w:rFonts w:ascii="EUAlbertina" w:hAnsi="EUAlbertina"/>
      <w:sz w:val="24"/>
    </w:rPr>
  </w:style>
  <w:style w:type="character" w:styleId="CommentReference">
    <w:name w:val="annotation reference"/>
    <w:rsid w:val="00DC7DEC"/>
    <w:rPr>
      <w:sz w:val="16"/>
      <w:szCs w:val="16"/>
    </w:rPr>
  </w:style>
  <w:style w:type="paragraph" w:styleId="CommentText">
    <w:name w:val="annotation text"/>
    <w:basedOn w:val="Normal"/>
    <w:link w:val="CommentTextChar"/>
    <w:rsid w:val="00DC7DEC"/>
    <w:rPr>
      <w:szCs w:val="20"/>
    </w:rPr>
  </w:style>
  <w:style w:type="character" w:customStyle="1" w:styleId="CommentTextChar">
    <w:name w:val="Comment Text Char"/>
    <w:basedOn w:val="DefaultParagraphFont"/>
    <w:link w:val="CommentText"/>
    <w:rsid w:val="00DC7DEC"/>
    <w:rPr>
      <w:rFonts w:ascii="Tahoma" w:eastAsia="Times New Roman" w:hAnsi="Tahoma" w:cs="Times New Roman"/>
      <w:sz w:val="20"/>
      <w:szCs w:val="20"/>
      <w:lang w:val="lv-LV" w:eastAsia="lv-LV"/>
    </w:rPr>
  </w:style>
  <w:style w:type="paragraph" w:styleId="CommentSubject">
    <w:name w:val="annotation subject"/>
    <w:basedOn w:val="CommentText"/>
    <w:next w:val="CommentText"/>
    <w:link w:val="CommentSubjectChar"/>
    <w:rsid w:val="00DC7DEC"/>
    <w:rPr>
      <w:b/>
      <w:bCs/>
    </w:rPr>
  </w:style>
  <w:style w:type="character" w:customStyle="1" w:styleId="CommentSubjectChar">
    <w:name w:val="Comment Subject Char"/>
    <w:basedOn w:val="CommentTextChar"/>
    <w:link w:val="CommentSubject"/>
    <w:rsid w:val="00DC7DEC"/>
    <w:rPr>
      <w:rFonts w:ascii="Tahoma" w:eastAsia="Times New Roman" w:hAnsi="Tahoma" w:cs="Times New Roman"/>
      <w:b/>
      <w:bCs/>
      <w:sz w:val="20"/>
      <w:szCs w:val="20"/>
      <w:lang w:val="lv-LV" w:eastAsia="lv-LV"/>
    </w:rPr>
  </w:style>
  <w:style w:type="table" w:styleId="TableGrid">
    <w:name w:val="Table Grid"/>
    <w:basedOn w:val="TableNormal"/>
    <w:uiPriority w:val="59"/>
    <w:rsid w:val="00DC7D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C7DEC"/>
    <w:pPr>
      <w:keepLines/>
      <w:numPr>
        <w:numId w:val="0"/>
      </w:numPr>
      <w:spacing w:before="480" w:line="276" w:lineRule="auto"/>
      <w:outlineLvl w:val="9"/>
    </w:pPr>
    <w:rPr>
      <w:rFonts w:ascii="Cambria" w:eastAsia="MS Gothic" w:hAnsi="Cambria"/>
      <w:color w:val="365F91"/>
      <w:kern w:val="0"/>
      <w:sz w:val="28"/>
      <w:szCs w:val="28"/>
    </w:rPr>
  </w:style>
  <w:style w:type="paragraph" w:customStyle="1" w:styleId="Default">
    <w:name w:val="Default"/>
    <w:rsid w:val="00DC7DE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DC7DEC"/>
    <w:pPr>
      <w:ind w:left="720"/>
    </w:pPr>
  </w:style>
  <w:style w:type="paragraph" w:styleId="BodyTextIndent2">
    <w:name w:val="Body Text Indent 2"/>
    <w:basedOn w:val="Normal"/>
    <w:link w:val="BodyTextIndent2Char"/>
    <w:rsid w:val="00DC7DEC"/>
    <w:pPr>
      <w:spacing w:after="120" w:line="480" w:lineRule="auto"/>
      <w:ind w:left="283"/>
    </w:pPr>
  </w:style>
  <w:style w:type="character" w:customStyle="1" w:styleId="BodyTextIndent2Char">
    <w:name w:val="Body Text Indent 2 Char"/>
    <w:basedOn w:val="DefaultParagraphFont"/>
    <w:link w:val="BodyTextIndent2"/>
    <w:rsid w:val="00DC7DEC"/>
    <w:rPr>
      <w:rFonts w:ascii="Tahoma" w:eastAsia="Times New Roman" w:hAnsi="Tahoma" w:cs="Times New Roman"/>
      <w:sz w:val="20"/>
      <w:szCs w:val="24"/>
      <w:lang w:val="lv-LV" w:eastAsia="lv-LV"/>
    </w:rPr>
  </w:style>
  <w:style w:type="paragraph" w:styleId="BodyText3">
    <w:name w:val="Body Text 3"/>
    <w:basedOn w:val="Normal"/>
    <w:link w:val="BodyText3Char"/>
    <w:rsid w:val="00DC7DEC"/>
    <w:pPr>
      <w:spacing w:after="120"/>
    </w:pPr>
    <w:rPr>
      <w:sz w:val="16"/>
      <w:szCs w:val="16"/>
    </w:rPr>
  </w:style>
  <w:style w:type="character" w:customStyle="1" w:styleId="BodyText3Char">
    <w:name w:val="Body Text 3 Char"/>
    <w:basedOn w:val="DefaultParagraphFont"/>
    <w:link w:val="BodyText3"/>
    <w:rsid w:val="00DC7DEC"/>
    <w:rPr>
      <w:rFonts w:ascii="Tahoma" w:eastAsia="Times New Roman" w:hAnsi="Tahoma" w:cs="Times New Roman"/>
      <w:sz w:val="16"/>
      <w:szCs w:val="16"/>
      <w:lang w:val="lv-LV" w:eastAsia="lv-LV"/>
    </w:rPr>
  </w:style>
  <w:style w:type="paragraph" w:styleId="Title">
    <w:name w:val="Title"/>
    <w:basedOn w:val="Normal"/>
    <w:link w:val="TitleChar"/>
    <w:qFormat/>
    <w:rsid w:val="00DC7DEC"/>
    <w:pPr>
      <w:jc w:val="center"/>
    </w:pPr>
    <w:rPr>
      <w:rFonts w:ascii="Antique Olive" w:hAnsi="Antique Olive"/>
      <w:b/>
      <w:bCs/>
      <w:sz w:val="28"/>
      <w:szCs w:val="28"/>
      <w:u w:val="single"/>
    </w:rPr>
  </w:style>
  <w:style w:type="character" w:customStyle="1" w:styleId="TitleChar">
    <w:name w:val="Title Char"/>
    <w:basedOn w:val="DefaultParagraphFont"/>
    <w:link w:val="Title"/>
    <w:rsid w:val="00DC7DEC"/>
    <w:rPr>
      <w:rFonts w:ascii="Antique Olive" w:eastAsia="Times New Roman" w:hAnsi="Antique Olive" w:cs="Times New Roman"/>
      <w:b/>
      <w:bCs/>
      <w:sz w:val="28"/>
      <w:szCs w:val="28"/>
      <w:u w:val="single"/>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EC"/>
    <w:pPr>
      <w:spacing w:after="0" w:line="240" w:lineRule="auto"/>
    </w:pPr>
    <w:rPr>
      <w:rFonts w:ascii="Tahoma" w:eastAsia="Times New Roman" w:hAnsi="Tahoma" w:cs="Times New Roman"/>
      <w:sz w:val="20"/>
      <w:szCs w:val="24"/>
      <w:lang w:val="en-GB" w:eastAsia="fr-FR"/>
    </w:rPr>
  </w:style>
  <w:style w:type="paragraph" w:styleId="Heading1">
    <w:name w:val="heading 1"/>
    <w:basedOn w:val="Normal"/>
    <w:next w:val="Normal"/>
    <w:link w:val="Heading1Char"/>
    <w:uiPriority w:val="9"/>
    <w:qFormat/>
    <w:rsid w:val="00DC7DEC"/>
    <w:pPr>
      <w:keepNext/>
      <w:numPr>
        <w:numId w:val="3"/>
      </w:numPr>
      <w:outlineLvl w:val="0"/>
    </w:pPr>
    <w:rPr>
      <w:b/>
      <w:bCs/>
      <w:kern w:val="32"/>
      <w:sz w:val="24"/>
      <w:szCs w:val="32"/>
    </w:rPr>
  </w:style>
  <w:style w:type="paragraph" w:styleId="Heading2">
    <w:name w:val="heading 2"/>
    <w:basedOn w:val="Normal"/>
    <w:next w:val="Normal"/>
    <w:link w:val="Heading2Char"/>
    <w:qFormat/>
    <w:rsid w:val="00DC7DEC"/>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link w:val="Heading3Char"/>
    <w:qFormat/>
    <w:rsid w:val="00DC7DEC"/>
    <w:pPr>
      <w:keepNext/>
      <w:numPr>
        <w:ilvl w:val="2"/>
        <w:numId w:val="3"/>
      </w:numPr>
      <w:ind w:left="1440"/>
      <w:outlineLvl w:val="2"/>
    </w:pPr>
    <w:rPr>
      <w:rFonts w:cs="Arial"/>
      <w:bCs/>
      <w:szCs w:val="26"/>
    </w:rPr>
  </w:style>
  <w:style w:type="paragraph" w:styleId="Heading4">
    <w:name w:val="heading 4"/>
    <w:basedOn w:val="Normal"/>
    <w:next w:val="Normal"/>
    <w:link w:val="Heading4Char"/>
    <w:qFormat/>
    <w:rsid w:val="00DC7DEC"/>
    <w:pPr>
      <w:keepNext/>
      <w:numPr>
        <w:ilvl w:val="3"/>
        <w:numId w:val="3"/>
      </w:numPr>
      <w:spacing w:before="240" w:after="60"/>
      <w:ind w:left="1372" w:hanging="862"/>
      <w:outlineLvl w:val="3"/>
    </w:pPr>
    <w:rPr>
      <w:bCs/>
      <w:szCs w:val="28"/>
    </w:rPr>
  </w:style>
  <w:style w:type="paragraph" w:styleId="Heading5">
    <w:name w:val="heading 5"/>
    <w:basedOn w:val="Normal"/>
    <w:next w:val="Normal"/>
    <w:link w:val="Heading5Char"/>
    <w:qFormat/>
    <w:rsid w:val="00DC7DE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DC7DEC"/>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C7DEC"/>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DC7DEC"/>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C7DE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EC"/>
    <w:rPr>
      <w:rFonts w:ascii="Tahoma" w:eastAsia="Times New Roman" w:hAnsi="Tahoma" w:cs="Times New Roman"/>
      <w:b/>
      <w:bCs/>
      <w:kern w:val="32"/>
      <w:sz w:val="24"/>
      <w:szCs w:val="32"/>
      <w:lang w:val="en-GB" w:eastAsia="fr-FR"/>
    </w:rPr>
  </w:style>
  <w:style w:type="character" w:customStyle="1" w:styleId="Heading2Char">
    <w:name w:val="Heading 2 Char"/>
    <w:basedOn w:val="DefaultParagraphFont"/>
    <w:link w:val="Heading2"/>
    <w:rsid w:val="00DC7DEC"/>
    <w:rPr>
      <w:rFonts w:ascii="Tahoma" w:eastAsia="Times New Roman" w:hAnsi="Tahoma" w:cs="Arial"/>
      <w:b/>
      <w:bCs/>
      <w:iCs/>
      <w:sz w:val="20"/>
      <w:szCs w:val="20"/>
      <w:lang w:val="en-GB" w:eastAsia="fr-FR"/>
    </w:rPr>
  </w:style>
  <w:style w:type="character" w:customStyle="1" w:styleId="Heading3Char">
    <w:name w:val="Heading 3 Char"/>
    <w:basedOn w:val="DefaultParagraphFont"/>
    <w:link w:val="Heading3"/>
    <w:rsid w:val="00DC7DEC"/>
    <w:rPr>
      <w:rFonts w:ascii="Tahoma" w:eastAsia="Times New Roman" w:hAnsi="Tahoma" w:cs="Arial"/>
      <w:bCs/>
      <w:sz w:val="20"/>
      <w:szCs w:val="26"/>
      <w:lang w:val="en-GB" w:eastAsia="fr-FR"/>
    </w:rPr>
  </w:style>
  <w:style w:type="character" w:customStyle="1" w:styleId="Heading4Char">
    <w:name w:val="Heading 4 Char"/>
    <w:basedOn w:val="DefaultParagraphFont"/>
    <w:link w:val="Heading4"/>
    <w:rsid w:val="00DC7DEC"/>
    <w:rPr>
      <w:rFonts w:ascii="Tahoma" w:eastAsia="Times New Roman" w:hAnsi="Tahoma" w:cs="Times New Roman"/>
      <w:bCs/>
      <w:sz w:val="20"/>
      <w:szCs w:val="28"/>
      <w:lang w:val="en-GB" w:eastAsia="fr-FR"/>
    </w:rPr>
  </w:style>
  <w:style w:type="character" w:customStyle="1" w:styleId="Heading5Char">
    <w:name w:val="Heading 5 Char"/>
    <w:basedOn w:val="DefaultParagraphFont"/>
    <w:link w:val="Heading5"/>
    <w:rsid w:val="00DC7DEC"/>
    <w:rPr>
      <w:rFonts w:ascii="Tahoma" w:eastAsia="Times New Roman" w:hAnsi="Tahoma" w:cs="Times New Roman"/>
      <w:b/>
      <w:bCs/>
      <w:i/>
      <w:iCs/>
      <w:sz w:val="26"/>
      <w:szCs w:val="26"/>
      <w:lang w:val="en-GB" w:eastAsia="fr-FR"/>
    </w:rPr>
  </w:style>
  <w:style w:type="character" w:customStyle="1" w:styleId="Heading6Char">
    <w:name w:val="Heading 6 Char"/>
    <w:basedOn w:val="DefaultParagraphFont"/>
    <w:link w:val="Heading6"/>
    <w:rsid w:val="00DC7DEC"/>
    <w:rPr>
      <w:rFonts w:ascii="Times New Roman" w:eastAsia="Times New Roman" w:hAnsi="Times New Roman" w:cs="Times New Roman"/>
      <w:b/>
      <w:bCs/>
      <w:lang w:val="en-GB" w:eastAsia="fr-FR"/>
    </w:rPr>
  </w:style>
  <w:style w:type="character" w:customStyle="1" w:styleId="Heading7Char">
    <w:name w:val="Heading 7 Char"/>
    <w:basedOn w:val="DefaultParagraphFont"/>
    <w:link w:val="Heading7"/>
    <w:rsid w:val="00DC7DEC"/>
    <w:rPr>
      <w:rFonts w:ascii="Times New Roman" w:eastAsia="Times New Roman" w:hAnsi="Times New Roman" w:cs="Times New Roman"/>
      <w:sz w:val="24"/>
      <w:szCs w:val="24"/>
      <w:lang w:val="en-GB" w:eastAsia="fr-FR"/>
    </w:rPr>
  </w:style>
  <w:style w:type="character" w:customStyle="1" w:styleId="Heading8Char">
    <w:name w:val="Heading 8 Char"/>
    <w:basedOn w:val="DefaultParagraphFont"/>
    <w:link w:val="Heading8"/>
    <w:rsid w:val="00DC7DEC"/>
    <w:rPr>
      <w:rFonts w:ascii="Times New Roman" w:eastAsia="Times New Roman" w:hAnsi="Times New Roman" w:cs="Times New Roman"/>
      <w:i/>
      <w:iCs/>
      <w:sz w:val="24"/>
      <w:szCs w:val="24"/>
      <w:lang w:val="en-GB" w:eastAsia="fr-FR"/>
    </w:rPr>
  </w:style>
  <w:style w:type="character" w:customStyle="1" w:styleId="Heading9Char">
    <w:name w:val="Heading 9 Char"/>
    <w:basedOn w:val="DefaultParagraphFont"/>
    <w:link w:val="Heading9"/>
    <w:rsid w:val="00DC7DEC"/>
    <w:rPr>
      <w:rFonts w:ascii="Arial" w:eastAsia="Times New Roman" w:hAnsi="Arial" w:cs="Arial"/>
      <w:lang w:val="en-GB" w:eastAsia="fr-FR"/>
    </w:rPr>
  </w:style>
  <w:style w:type="character" w:styleId="FollowedHyperlink">
    <w:name w:val="FollowedHyperlink"/>
    <w:rsid w:val="00DC7DEC"/>
    <w:rPr>
      <w:color w:val="800080"/>
      <w:u w:val="single"/>
    </w:rPr>
  </w:style>
  <w:style w:type="paragraph" w:styleId="E-mailSignature">
    <w:name w:val="E-mail Signature"/>
    <w:basedOn w:val="Normal"/>
    <w:link w:val="E-mailSignatureChar"/>
    <w:rsid w:val="00DC7DEC"/>
  </w:style>
  <w:style w:type="character" w:customStyle="1" w:styleId="E-mailSignatureChar">
    <w:name w:val="E-mail Signature Char"/>
    <w:basedOn w:val="DefaultParagraphFont"/>
    <w:link w:val="E-mailSignature"/>
    <w:rsid w:val="00DC7DEC"/>
    <w:rPr>
      <w:rFonts w:ascii="Tahoma" w:eastAsia="Times New Roman" w:hAnsi="Tahoma" w:cs="Times New Roman"/>
      <w:sz w:val="20"/>
      <w:szCs w:val="24"/>
      <w:lang w:val="en-GB" w:eastAsia="fr-FR"/>
    </w:rPr>
  </w:style>
  <w:style w:type="character" w:styleId="Strong">
    <w:name w:val="Strong"/>
    <w:uiPriority w:val="22"/>
    <w:qFormat/>
    <w:rsid w:val="00DC7DEC"/>
    <w:rPr>
      <w:b/>
      <w:bCs/>
    </w:rPr>
  </w:style>
  <w:style w:type="character" w:styleId="Emphasis">
    <w:name w:val="Emphasis"/>
    <w:qFormat/>
    <w:rsid w:val="00DC7DEC"/>
    <w:rPr>
      <w:i/>
      <w:iCs/>
    </w:rPr>
  </w:style>
  <w:style w:type="character" w:styleId="Hyperlink">
    <w:name w:val="Hyperlink"/>
    <w:uiPriority w:val="99"/>
    <w:rsid w:val="00DC7DEC"/>
    <w:rPr>
      <w:color w:val="0000FF"/>
      <w:u w:val="single"/>
    </w:rPr>
  </w:style>
  <w:style w:type="paragraph" w:styleId="Footer">
    <w:name w:val="footer"/>
    <w:basedOn w:val="Normal"/>
    <w:link w:val="FooterChar"/>
    <w:rsid w:val="00DC7DEC"/>
    <w:pPr>
      <w:tabs>
        <w:tab w:val="center" w:pos="4153"/>
        <w:tab w:val="right" w:pos="8306"/>
      </w:tabs>
    </w:pPr>
  </w:style>
  <w:style w:type="character" w:customStyle="1" w:styleId="FooterChar">
    <w:name w:val="Footer Char"/>
    <w:basedOn w:val="DefaultParagraphFont"/>
    <w:link w:val="Footer"/>
    <w:rsid w:val="00DC7DEC"/>
    <w:rPr>
      <w:rFonts w:ascii="Tahoma" w:eastAsia="Times New Roman" w:hAnsi="Tahoma" w:cs="Times New Roman"/>
      <w:sz w:val="20"/>
      <w:szCs w:val="24"/>
      <w:lang w:val="en-GB" w:eastAsia="fr-FR"/>
    </w:rPr>
  </w:style>
  <w:style w:type="character" w:styleId="PageNumber">
    <w:name w:val="page number"/>
    <w:basedOn w:val="DefaultParagraphFont"/>
    <w:rsid w:val="00DC7DEC"/>
  </w:style>
  <w:style w:type="paragraph" w:styleId="EndnoteText">
    <w:name w:val="endnote text"/>
    <w:basedOn w:val="Normal"/>
    <w:link w:val="EndnoteTextChar"/>
    <w:semiHidden/>
    <w:rsid w:val="00DC7DEC"/>
    <w:rPr>
      <w:szCs w:val="20"/>
    </w:rPr>
  </w:style>
  <w:style w:type="character" w:customStyle="1" w:styleId="EndnoteTextChar">
    <w:name w:val="Endnote Text Char"/>
    <w:basedOn w:val="DefaultParagraphFont"/>
    <w:link w:val="EndnoteText"/>
    <w:semiHidden/>
    <w:rsid w:val="00DC7DEC"/>
    <w:rPr>
      <w:rFonts w:ascii="Tahoma" w:eastAsia="Times New Roman" w:hAnsi="Tahoma" w:cs="Times New Roman"/>
      <w:sz w:val="20"/>
      <w:szCs w:val="20"/>
      <w:lang w:val="en-GB" w:eastAsia="fr-FR"/>
    </w:rPr>
  </w:style>
  <w:style w:type="character" w:styleId="EndnoteReference">
    <w:name w:val="endnote reference"/>
    <w:semiHidden/>
    <w:rsid w:val="00DC7DEC"/>
    <w:rPr>
      <w:vertAlign w:val="superscript"/>
    </w:rPr>
  </w:style>
  <w:style w:type="paragraph" w:styleId="TOC1">
    <w:name w:val="toc 1"/>
    <w:basedOn w:val="Normal"/>
    <w:next w:val="Normal"/>
    <w:autoRedefine/>
    <w:uiPriority w:val="39"/>
    <w:rsid w:val="00DC7DEC"/>
    <w:pPr>
      <w:tabs>
        <w:tab w:val="left" w:pos="480"/>
        <w:tab w:val="right" w:leader="dot" w:pos="8828"/>
      </w:tabs>
    </w:pPr>
    <w:rPr>
      <w:rFonts w:ascii="Verdana" w:hAnsi="Verdana"/>
      <w:b/>
      <w:noProof/>
    </w:rPr>
  </w:style>
  <w:style w:type="paragraph" w:styleId="TOC2">
    <w:name w:val="toc 2"/>
    <w:basedOn w:val="Normal"/>
    <w:next w:val="Normal"/>
    <w:autoRedefine/>
    <w:uiPriority w:val="39"/>
    <w:rsid w:val="00DC7DEC"/>
    <w:pPr>
      <w:ind w:left="200"/>
    </w:pPr>
  </w:style>
  <w:style w:type="paragraph" w:styleId="TOC3">
    <w:name w:val="toc 3"/>
    <w:basedOn w:val="Normal"/>
    <w:next w:val="Normal"/>
    <w:autoRedefine/>
    <w:uiPriority w:val="39"/>
    <w:rsid w:val="00DC7DEC"/>
    <w:pPr>
      <w:tabs>
        <w:tab w:val="left" w:pos="1200"/>
        <w:tab w:val="right" w:leader="dot" w:pos="8828"/>
      </w:tabs>
      <w:ind w:left="200"/>
    </w:pPr>
  </w:style>
  <w:style w:type="paragraph" w:styleId="BalloonText">
    <w:name w:val="Balloon Text"/>
    <w:basedOn w:val="Normal"/>
    <w:link w:val="BalloonTextChar"/>
    <w:semiHidden/>
    <w:rsid w:val="00DC7DEC"/>
    <w:rPr>
      <w:rFonts w:cs="Tahoma"/>
      <w:sz w:val="16"/>
      <w:szCs w:val="16"/>
    </w:rPr>
  </w:style>
  <w:style w:type="character" w:customStyle="1" w:styleId="BalloonTextChar">
    <w:name w:val="Balloon Text Char"/>
    <w:basedOn w:val="DefaultParagraphFont"/>
    <w:link w:val="BalloonText"/>
    <w:semiHidden/>
    <w:rsid w:val="00DC7DEC"/>
    <w:rPr>
      <w:rFonts w:ascii="Tahoma" w:eastAsia="Times New Roman" w:hAnsi="Tahoma" w:cs="Tahoma"/>
      <w:sz w:val="16"/>
      <w:szCs w:val="16"/>
      <w:lang w:val="en-GB" w:eastAsia="fr-FR"/>
    </w:rPr>
  </w:style>
  <w:style w:type="paragraph" w:styleId="Header">
    <w:name w:val="header"/>
    <w:basedOn w:val="Normal"/>
    <w:link w:val="HeaderChar"/>
    <w:rsid w:val="00DC7DEC"/>
    <w:pPr>
      <w:tabs>
        <w:tab w:val="center" w:pos="4536"/>
        <w:tab w:val="right" w:pos="9072"/>
      </w:tabs>
    </w:pPr>
  </w:style>
  <w:style w:type="character" w:customStyle="1" w:styleId="HeaderChar">
    <w:name w:val="Header Char"/>
    <w:basedOn w:val="DefaultParagraphFont"/>
    <w:link w:val="Header"/>
    <w:rsid w:val="00DC7DEC"/>
    <w:rPr>
      <w:rFonts w:ascii="Tahoma" w:eastAsia="Times New Roman" w:hAnsi="Tahoma" w:cs="Times New Roman"/>
      <w:sz w:val="20"/>
      <w:szCs w:val="24"/>
      <w:lang w:val="en-GB" w:eastAsia="fr-FR"/>
    </w:rPr>
  </w:style>
  <w:style w:type="paragraph" w:styleId="NormalWeb">
    <w:name w:val="Normal (Web)"/>
    <w:basedOn w:val="Normal"/>
    <w:uiPriority w:val="99"/>
    <w:unhideWhenUsed/>
    <w:rsid w:val="00DC7DEC"/>
    <w:pPr>
      <w:spacing w:before="100" w:beforeAutospacing="1" w:after="100" w:afterAutospacing="1"/>
    </w:pPr>
    <w:rPr>
      <w:rFonts w:cs="Tahoma"/>
      <w:color w:val="000000"/>
      <w:szCs w:val="20"/>
      <w:lang w:val="fr-BE" w:eastAsia="fr-BE"/>
    </w:rPr>
  </w:style>
  <w:style w:type="paragraph" w:styleId="BodyText">
    <w:name w:val="Body Text"/>
    <w:basedOn w:val="Normal"/>
    <w:link w:val="BodyTextChar"/>
    <w:rsid w:val="00DC7DEC"/>
    <w:pPr>
      <w:jc w:val="both"/>
    </w:pPr>
    <w:rPr>
      <w:rFonts w:eastAsia="SimSun"/>
      <w:lang w:eastAsia="zh-CN"/>
    </w:rPr>
  </w:style>
  <w:style w:type="character" w:customStyle="1" w:styleId="BodyTextChar">
    <w:name w:val="Body Text Char"/>
    <w:basedOn w:val="DefaultParagraphFont"/>
    <w:link w:val="BodyText"/>
    <w:rsid w:val="00DC7DEC"/>
    <w:rPr>
      <w:rFonts w:ascii="Tahoma" w:eastAsia="SimSun" w:hAnsi="Tahoma" w:cs="Times New Roman"/>
      <w:sz w:val="20"/>
      <w:szCs w:val="24"/>
      <w:lang w:val="en-GB"/>
    </w:rPr>
  </w:style>
  <w:style w:type="paragraph" w:styleId="NoSpacing">
    <w:name w:val="No Spacing"/>
    <w:uiPriority w:val="1"/>
    <w:qFormat/>
    <w:rsid w:val="00DC7DEC"/>
    <w:pPr>
      <w:spacing w:after="0" w:line="240" w:lineRule="auto"/>
      <w:jc w:val="both"/>
    </w:pPr>
    <w:rPr>
      <w:rFonts w:ascii="Tahoma" w:eastAsia="Calibri" w:hAnsi="Tahoma" w:cs="Times New Roman"/>
      <w:sz w:val="20"/>
      <w:lang w:val="en-GB" w:eastAsia="en-US"/>
    </w:rPr>
  </w:style>
  <w:style w:type="paragraph" w:customStyle="1" w:styleId="Corpsdetexte6">
    <w:name w:val="Corps de texte 6"/>
    <w:basedOn w:val="Normal"/>
    <w:rsid w:val="00DC7DEC"/>
    <w:pPr>
      <w:spacing w:after="240"/>
      <w:ind w:left="1985"/>
      <w:jc w:val="both"/>
    </w:pPr>
    <w:rPr>
      <w:rFonts w:ascii="Times New Roman" w:hAnsi="Times New Roman"/>
      <w:sz w:val="22"/>
      <w:szCs w:val="22"/>
      <w:lang w:val="fr-FR" w:eastAsia="en-US"/>
    </w:rPr>
  </w:style>
  <w:style w:type="paragraph" w:customStyle="1" w:styleId="Liste1">
    <w:name w:val="Liste 1"/>
    <w:basedOn w:val="Normal"/>
    <w:next w:val="BodyText"/>
    <w:rsid w:val="00DC7DEC"/>
    <w:pPr>
      <w:tabs>
        <w:tab w:val="num" w:pos="432"/>
      </w:tabs>
      <w:spacing w:after="120"/>
      <w:ind w:left="432" w:hanging="432"/>
      <w:jc w:val="both"/>
    </w:pPr>
    <w:rPr>
      <w:rFonts w:ascii="Times New Roman" w:hAnsi="Times New Roman"/>
      <w:sz w:val="22"/>
      <w:szCs w:val="22"/>
      <w:lang w:val="fr-FR" w:eastAsia="en-US"/>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DC7DEC"/>
    <w:pPr>
      <w:jc w:val="both"/>
    </w:pPr>
    <w:rPr>
      <w:rFonts w:ascii="Times New Roman" w:hAnsi="Times New Roman"/>
      <w:szCs w:val="20"/>
      <w:lang w:val="fr-FR" w:eastAsia="en-US"/>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basedOn w:val="DefaultParagraphFont"/>
    <w:link w:val="FootnoteText"/>
    <w:rsid w:val="00DC7DEC"/>
    <w:rPr>
      <w:rFonts w:ascii="Times New Roman" w:eastAsia="Times New Roman" w:hAnsi="Times New Roman" w:cs="Times New Roman"/>
      <w:sz w:val="20"/>
      <w:szCs w:val="20"/>
      <w:lang w:val="fr-FR" w:eastAsia="en-US"/>
    </w:rPr>
  </w:style>
  <w:style w:type="character" w:styleId="FootnoteReference">
    <w:name w:val="footnote reference"/>
    <w:aliases w:val="Footnote number"/>
    <w:rsid w:val="00DC7DEC"/>
    <w:rPr>
      <w:rFonts w:cs="Times New Roman"/>
      <w:vertAlign w:val="superscript"/>
    </w:rPr>
  </w:style>
  <w:style w:type="paragraph" w:customStyle="1" w:styleId="CM1">
    <w:name w:val="CM1"/>
    <w:basedOn w:val="Normal"/>
    <w:next w:val="Normal"/>
    <w:uiPriority w:val="99"/>
    <w:rsid w:val="00DC7DEC"/>
    <w:pPr>
      <w:autoSpaceDE w:val="0"/>
      <w:autoSpaceDN w:val="0"/>
      <w:adjustRightInd w:val="0"/>
    </w:pPr>
    <w:rPr>
      <w:rFonts w:ascii="EUAlbertina" w:hAnsi="EUAlbertina"/>
      <w:sz w:val="24"/>
      <w:lang w:val="fr-BE" w:eastAsia="fr-BE"/>
    </w:rPr>
  </w:style>
  <w:style w:type="paragraph" w:customStyle="1" w:styleId="CM3">
    <w:name w:val="CM3"/>
    <w:basedOn w:val="Normal"/>
    <w:next w:val="Normal"/>
    <w:uiPriority w:val="99"/>
    <w:rsid w:val="00DC7DEC"/>
    <w:pPr>
      <w:autoSpaceDE w:val="0"/>
      <w:autoSpaceDN w:val="0"/>
      <w:adjustRightInd w:val="0"/>
    </w:pPr>
    <w:rPr>
      <w:rFonts w:ascii="EUAlbertina" w:hAnsi="EUAlbertina"/>
      <w:sz w:val="24"/>
      <w:lang w:val="fr-BE" w:eastAsia="fr-BE"/>
    </w:rPr>
  </w:style>
  <w:style w:type="character" w:styleId="CommentReference">
    <w:name w:val="annotation reference"/>
    <w:rsid w:val="00DC7DEC"/>
    <w:rPr>
      <w:sz w:val="16"/>
      <w:szCs w:val="16"/>
    </w:rPr>
  </w:style>
  <w:style w:type="paragraph" w:styleId="CommentText">
    <w:name w:val="annotation text"/>
    <w:basedOn w:val="Normal"/>
    <w:link w:val="CommentTextChar"/>
    <w:rsid w:val="00DC7DEC"/>
    <w:rPr>
      <w:szCs w:val="20"/>
    </w:rPr>
  </w:style>
  <w:style w:type="character" w:customStyle="1" w:styleId="CommentTextChar">
    <w:name w:val="Comment Text Char"/>
    <w:basedOn w:val="DefaultParagraphFont"/>
    <w:link w:val="CommentText"/>
    <w:rsid w:val="00DC7DEC"/>
    <w:rPr>
      <w:rFonts w:ascii="Tahoma" w:eastAsia="Times New Roman" w:hAnsi="Tahoma" w:cs="Times New Roman"/>
      <w:sz w:val="20"/>
      <w:szCs w:val="20"/>
      <w:lang w:val="en-GB" w:eastAsia="fr-FR"/>
    </w:rPr>
  </w:style>
  <w:style w:type="paragraph" w:styleId="CommentSubject">
    <w:name w:val="annotation subject"/>
    <w:basedOn w:val="CommentText"/>
    <w:next w:val="CommentText"/>
    <w:link w:val="CommentSubjectChar"/>
    <w:rsid w:val="00DC7DEC"/>
    <w:rPr>
      <w:b/>
      <w:bCs/>
    </w:rPr>
  </w:style>
  <w:style w:type="character" w:customStyle="1" w:styleId="CommentSubjectChar">
    <w:name w:val="Comment Subject Char"/>
    <w:basedOn w:val="CommentTextChar"/>
    <w:link w:val="CommentSubject"/>
    <w:rsid w:val="00DC7DEC"/>
    <w:rPr>
      <w:rFonts w:ascii="Tahoma" w:eastAsia="Times New Roman" w:hAnsi="Tahoma" w:cs="Times New Roman"/>
      <w:b/>
      <w:bCs/>
      <w:sz w:val="20"/>
      <w:szCs w:val="20"/>
      <w:lang w:val="en-GB" w:eastAsia="fr-FR"/>
    </w:rPr>
  </w:style>
  <w:style w:type="table" w:styleId="TableGrid">
    <w:name w:val="Table Grid"/>
    <w:basedOn w:val="TableNormal"/>
    <w:uiPriority w:val="59"/>
    <w:rsid w:val="00DC7D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C7DEC"/>
    <w:pPr>
      <w:keepLines/>
      <w:numPr>
        <w:numId w:val="0"/>
      </w:numPr>
      <w:spacing w:before="480" w:line="276" w:lineRule="auto"/>
      <w:outlineLvl w:val="9"/>
    </w:pPr>
    <w:rPr>
      <w:rFonts w:ascii="Cambria" w:eastAsia="MS Gothic" w:hAnsi="Cambria"/>
      <w:color w:val="365F91"/>
      <w:kern w:val="0"/>
      <w:sz w:val="28"/>
      <w:szCs w:val="28"/>
      <w:lang w:val="en-US" w:eastAsia="ja-JP"/>
    </w:rPr>
  </w:style>
  <w:style w:type="paragraph" w:customStyle="1" w:styleId="Default">
    <w:name w:val="Default"/>
    <w:rsid w:val="00DC7DEC"/>
    <w:pPr>
      <w:autoSpaceDE w:val="0"/>
      <w:autoSpaceDN w:val="0"/>
      <w:adjustRightInd w:val="0"/>
      <w:spacing w:after="0" w:line="240" w:lineRule="auto"/>
    </w:pPr>
    <w:rPr>
      <w:rFonts w:ascii="Arial" w:eastAsia="Times New Roman" w:hAnsi="Arial" w:cs="Arial"/>
      <w:color w:val="000000"/>
      <w:sz w:val="24"/>
      <w:szCs w:val="24"/>
      <w:lang w:val="fr-BE" w:eastAsia="fr-BE"/>
    </w:rPr>
  </w:style>
  <w:style w:type="paragraph" w:styleId="ListParagraph">
    <w:name w:val="List Paragraph"/>
    <w:basedOn w:val="Normal"/>
    <w:uiPriority w:val="34"/>
    <w:qFormat/>
    <w:rsid w:val="00DC7DEC"/>
    <w:pPr>
      <w:ind w:left="720"/>
    </w:pPr>
  </w:style>
  <w:style w:type="paragraph" w:styleId="BodyTextIndent2">
    <w:name w:val="Body Text Indent 2"/>
    <w:basedOn w:val="Normal"/>
    <w:link w:val="BodyTextIndent2Char"/>
    <w:rsid w:val="00DC7DEC"/>
    <w:pPr>
      <w:spacing w:after="120" w:line="480" w:lineRule="auto"/>
      <w:ind w:left="283"/>
    </w:pPr>
  </w:style>
  <w:style w:type="character" w:customStyle="1" w:styleId="BodyTextIndent2Char">
    <w:name w:val="Body Text Indent 2 Char"/>
    <w:basedOn w:val="DefaultParagraphFont"/>
    <w:link w:val="BodyTextIndent2"/>
    <w:rsid w:val="00DC7DEC"/>
    <w:rPr>
      <w:rFonts w:ascii="Tahoma" w:eastAsia="Times New Roman" w:hAnsi="Tahoma" w:cs="Times New Roman"/>
      <w:sz w:val="20"/>
      <w:szCs w:val="24"/>
      <w:lang w:val="en-GB" w:eastAsia="fr-FR"/>
    </w:rPr>
  </w:style>
  <w:style w:type="paragraph" w:styleId="BodyText3">
    <w:name w:val="Body Text 3"/>
    <w:basedOn w:val="Normal"/>
    <w:link w:val="BodyText3Char"/>
    <w:rsid w:val="00DC7DEC"/>
    <w:pPr>
      <w:spacing w:after="120"/>
    </w:pPr>
    <w:rPr>
      <w:sz w:val="16"/>
      <w:szCs w:val="16"/>
    </w:rPr>
  </w:style>
  <w:style w:type="character" w:customStyle="1" w:styleId="BodyText3Char">
    <w:name w:val="Body Text 3 Char"/>
    <w:basedOn w:val="DefaultParagraphFont"/>
    <w:link w:val="BodyText3"/>
    <w:rsid w:val="00DC7DEC"/>
    <w:rPr>
      <w:rFonts w:ascii="Tahoma" w:eastAsia="Times New Roman" w:hAnsi="Tahoma" w:cs="Times New Roman"/>
      <w:sz w:val="16"/>
      <w:szCs w:val="16"/>
      <w:lang w:val="en-GB" w:eastAsia="fr-FR"/>
    </w:rPr>
  </w:style>
  <w:style w:type="paragraph" w:styleId="Title">
    <w:name w:val="Title"/>
    <w:basedOn w:val="Normal"/>
    <w:link w:val="TitleChar"/>
    <w:qFormat/>
    <w:rsid w:val="00DC7DEC"/>
    <w:pPr>
      <w:jc w:val="center"/>
    </w:pPr>
    <w:rPr>
      <w:rFonts w:ascii="Antique Olive" w:hAnsi="Antique Olive"/>
      <w:b/>
      <w:bCs/>
      <w:sz w:val="28"/>
      <w:szCs w:val="28"/>
      <w:u w:val="single"/>
      <w:lang w:val="fr-BE"/>
    </w:rPr>
  </w:style>
  <w:style w:type="character" w:customStyle="1" w:styleId="TitleChar">
    <w:name w:val="Title Char"/>
    <w:basedOn w:val="DefaultParagraphFont"/>
    <w:link w:val="Title"/>
    <w:rsid w:val="00DC7DEC"/>
    <w:rPr>
      <w:rFonts w:ascii="Antique Olive" w:eastAsia="Times New Roman" w:hAnsi="Antique Olive" w:cs="Times New Roman"/>
      <w:b/>
      <w:bCs/>
      <w:sz w:val="28"/>
      <w:szCs w:val="28"/>
      <w:u w:val="single"/>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Documents%20and%20Settings\PB\Local%20Settings\Temp\www.ebb-eu.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icrt-idtf.com/en/index.php" TargetMode="External"/><Relationship Id="rId7" Type="http://schemas.openxmlformats.org/officeDocument/2006/relationships/endnotes" Target="endnotes.xml"/><Relationship Id="rId12" Type="http://schemas.openxmlformats.org/officeDocument/2006/relationships/hyperlink" Target="mailto:ebb@ebb-eu.org" TargetMode="External"/><Relationship Id="rId17" Type="http://schemas.openxmlformats.org/officeDocument/2006/relationships/hyperlink" Target="http://www.hse.gov.uk/foi/internalops/hid_circs/enforcement/spc_enf_137/index.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b-eu.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fisc.eu/" TargetMode="External"/><Relationship Id="rId23" Type="http://schemas.openxmlformats.org/officeDocument/2006/relationships/header" Target="header3.xml"/><Relationship Id="rId10" Type="http://schemas.openxmlformats.org/officeDocument/2006/relationships/hyperlink" Target="http://www.fediol.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ch.eu/" TargetMode="External"/><Relationship Id="rId14" Type="http://schemas.openxmlformats.org/officeDocument/2006/relationships/hyperlink" Target="mailto:info@efisc.eu"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fisc.eu/data/1342020514Sector%20document%20oilseed%20and%20proteinmeal%20industry_version-2-2-1_16-02-11%20update%20hyperlinks%209_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24</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euroscript</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Atangana, Armel</dc:creator>
  <cp:lastModifiedBy>SADOVSKA Kristine (DGT)</cp:lastModifiedBy>
  <cp:revision>47</cp:revision>
  <dcterms:created xsi:type="dcterms:W3CDTF">2015-11-10T07:34:00Z</dcterms:created>
  <dcterms:modified xsi:type="dcterms:W3CDTF">2015-12-15T09:16:00Z</dcterms:modified>
</cp:coreProperties>
</file>