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F3" w:rsidRPr="001D76FB" w:rsidRDefault="00660F29" w:rsidP="00660F29">
      <w:pPr>
        <w:pStyle w:val="BodyText3"/>
        <w:jc w:val="right"/>
        <w:rPr>
          <w:rFonts w:ascii="Verdana" w:hAnsi="Verdana"/>
          <w:sz w:val="28"/>
          <w:szCs w:val="28"/>
        </w:rPr>
      </w:pPr>
      <w:r>
        <w:rPr>
          <w:noProof/>
          <w:lang w:val="en-GB" w:eastAsia="en-GB" w:bidi="ar-SA"/>
        </w:rPr>
        <w:drawing>
          <wp:inline distT="0" distB="0" distL="0" distR="0" wp14:anchorId="6323E0B2" wp14:editId="726FFEDA">
            <wp:extent cx="101917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695325"/>
                    </a:xfrm>
                    <a:prstGeom prst="rect">
                      <a:avLst/>
                    </a:prstGeom>
                    <a:noFill/>
                    <a:ln>
                      <a:noFill/>
                    </a:ln>
                  </pic:spPr>
                </pic:pic>
              </a:graphicData>
            </a:graphic>
          </wp:inline>
        </w:drawing>
      </w:r>
    </w:p>
    <w:p w:rsidR="005C03F3" w:rsidRDefault="005C03F3" w:rsidP="005C03F3">
      <w:pPr>
        <w:pStyle w:val="BodyText3"/>
        <w:jc w:val="both"/>
        <w:rPr>
          <w:rFonts w:ascii="Verdana" w:hAnsi="Verdana"/>
          <w:sz w:val="28"/>
          <w:szCs w:val="28"/>
        </w:rPr>
      </w:pPr>
    </w:p>
    <w:p w:rsidR="005C03F3" w:rsidRDefault="005C03F3" w:rsidP="005C03F3">
      <w:pPr>
        <w:pStyle w:val="BodyText3"/>
        <w:jc w:val="both"/>
        <w:rPr>
          <w:rFonts w:ascii="Verdana" w:hAnsi="Verdana"/>
          <w:sz w:val="28"/>
          <w:szCs w:val="28"/>
        </w:rPr>
      </w:pPr>
    </w:p>
    <w:p w:rsidR="005C03F3" w:rsidRDefault="005C03F3" w:rsidP="005C03F3">
      <w:pPr>
        <w:pStyle w:val="BodyText3"/>
        <w:jc w:val="both"/>
        <w:rPr>
          <w:rFonts w:ascii="Verdana" w:hAnsi="Verdana"/>
          <w:sz w:val="28"/>
          <w:szCs w:val="28"/>
        </w:rPr>
      </w:pPr>
    </w:p>
    <w:p w:rsidR="005C03F3" w:rsidRDefault="005C03F3" w:rsidP="005C03F3">
      <w:pPr>
        <w:pStyle w:val="BodyText3"/>
        <w:jc w:val="both"/>
        <w:rPr>
          <w:rFonts w:ascii="Verdana" w:hAnsi="Verdana"/>
          <w:sz w:val="28"/>
          <w:szCs w:val="28"/>
        </w:rPr>
      </w:pPr>
    </w:p>
    <w:p w:rsidR="00120270" w:rsidRDefault="00120270" w:rsidP="00660F29">
      <w:pPr>
        <w:pStyle w:val="BodyText3"/>
        <w:rPr>
          <w:rFonts w:ascii="Verdana" w:hAnsi="Verdana"/>
          <w:color w:val="1F497D"/>
          <w:sz w:val="28"/>
          <w:szCs w:val="28"/>
        </w:rPr>
      </w:pPr>
      <w:r>
        <w:rPr>
          <w:rFonts w:ascii="Verdana" w:hAnsi="Verdana"/>
          <w:color w:val="1F497D"/>
          <w:sz w:val="28"/>
        </w:rPr>
        <w:t>Európska príručka pre správnu prax pre priemyselnú výrobu bezpečných kŕmnych surovín</w:t>
      </w:r>
    </w:p>
    <w:p w:rsidR="00120270" w:rsidRPr="005C03F3" w:rsidRDefault="00120270" w:rsidP="00660F29">
      <w:pPr>
        <w:rPr>
          <w:rFonts w:ascii="Verdana" w:hAnsi="Verdana" w:cs="Tahoma"/>
          <w:b/>
          <w:color w:val="4F81BD"/>
          <w:sz w:val="48"/>
          <w:szCs w:val="48"/>
        </w:rPr>
      </w:pPr>
      <w:r>
        <w:rPr>
          <w:rFonts w:ascii="Verdana" w:hAnsi="Verdana"/>
          <w:b/>
          <w:color w:val="4F81BD"/>
          <w:sz w:val="48"/>
        </w:rPr>
        <w:t xml:space="preserve">Referenčný odvetvový dokument o výrobe bezpečných kŕmnych surovín zo spracovania bionafty </w:t>
      </w:r>
    </w:p>
    <w:p w:rsidR="00120270" w:rsidRDefault="00120270" w:rsidP="00120270">
      <w:pPr>
        <w:jc w:val="both"/>
        <w:rPr>
          <w:rFonts w:ascii="Verdana" w:hAnsi="Verdana"/>
          <w:b/>
          <w:color w:val="1F497D"/>
          <w:sz w:val="28"/>
          <w:szCs w:val="28"/>
        </w:rPr>
      </w:pPr>
    </w:p>
    <w:p w:rsidR="00120270" w:rsidRPr="008053AF" w:rsidRDefault="00120270" w:rsidP="00120270">
      <w:pPr>
        <w:jc w:val="both"/>
        <w:rPr>
          <w:rFonts w:ascii="Verdana" w:hAnsi="Verdana"/>
          <w:b/>
          <w:color w:val="1F497D"/>
          <w:sz w:val="28"/>
          <w:szCs w:val="28"/>
        </w:rPr>
      </w:pPr>
      <w:r>
        <w:rPr>
          <w:rFonts w:ascii="Verdana" w:hAnsi="Verdana"/>
          <w:b/>
          <w:color w:val="1F497D"/>
          <w:sz w:val="28"/>
        </w:rPr>
        <w:t>Verzia 1.1</w:t>
      </w:r>
    </w:p>
    <w:p w:rsidR="00120270" w:rsidRPr="008053AF" w:rsidRDefault="00120270" w:rsidP="00120270">
      <w:pPr>
        <w:jc w:val="both"/>
        <w:rPr>
          <w:rFonts w:ascii="Verdana" w:hAnsi="Verdana"/>
          <w:b/>
          <w:color w:val="1F497D"/>
          <w:sz w:val="28"/>
          <w:szCs w:val="28"/>
        </w:rPr>
      </w:pPr>
      <w:r>
        <w:rPr>
          <w:rFonts w:ascii="Verdana" w:hAnsi="Verdana"/>
          <w:b/>
          <w:color w:val="1F497D"/>
          <w:sz w:val="28"/>
        </w:rPr>
        <w:t>V účinnosti od novembra 2014</w:t>
      </w:r>
    </w:p>
    <w:p w:rsidR="005C03F3" w:rsidRDefault="00660F29" w:rsidP="006558BC">
      <w:pPr>
        <w:rPr>
          <w:rFonts w:ascii="Verdana" w:hAnsi="Verdana"/>
          <w:b/>
          <w:color w:val="808080"/>
          <w:sz w:val="28"/>
          <w:szCs w:val="28"/>
        </w:rPr>
      </w:pPr>
      <w:r>
        <w:br w:type="page"/>
      </w:r>
      <w:r>
        <w:rPr>
          <w:rFonts w:ascii="Verdana" w:hAnsi="Verdana"/>
          <w:b/>
          <w:color w:val="808080"/>
          <w:sz w:val="28"/>
        </w:rPr>
        <w:lastRenderedPageBreak/>
        <w:t>Odvetvia, na ktoré sa vzťahuje Európska príručka</w:t>
      </w:r>
    </w:p>
    <w:p w:rsidR="0015798E" w:rsidRDefault="0015798E" w:rsidP="006558BC">
      <w:pPr>
        <w:rPr>
          <w:rFonts w:ascii="Verdana" w:hAnsi="Verdana"/>
          <w:b/>
          <w:color w:val="808080"/>
          <w:sz w:val="28"/>
          <w:szCs w:val="28"/>
        </w:rPr>
      </w:pPr>
    </w:p>
    <w:p w:rsidR="005C03F3" w:rsidRDefault="005C03F3" w:rsidP="005C03F3">
      <w:pPr>
        <w:pBdr>
          <w:top w:val="single" w:sz="4" w:space="1" w:color="auto"/>
          <w:left w:val="single" w:sz="4" w:space="4" w:color="auto"/>
          <w:bottom w:val="single" w:sz="4" w:space="0" w:color="auto"/>
          <w:right w:val="single" w:sz="4" w:space="4" w:color="auto"/>
        </w:pBdr>
        <w:shd w:val="clear" w:color="auto" w:fill="FDE9D9"/>
        <w:rPr>
          <w:rFonts w:ascii="Verdana" w:hAnsi="Verdana"/>
        </w:rPr>
      </w:pPr>
    </w:p>
    <w:p w:rsidR="005C03F3" w:rsidRPr="00C00A60" w:rsidRDefault="005C03F3" w:rsidP="005C03F3">
      <w:pPr>
        <w:pBdr>
          <w:top w:val="single" w:sz="4" w:space="1" w:color="auto"/>
          <w:left w:val="single" w:sz="4" w:space="4" w:color="auto"/>
          <w:bottom w:val="single" w:sz="4" w:space="0" w:color="auto"/>
          <w:right w:val="single" w:sz="4" w:space="4" w:color="auto"/>
        </w:pBdr>
        <w:shd w:val="clear" w:color="auto" w:fill="FDE9D9"/>
        <w:rPr>
          <w:rFonts w:ascii="Verdana" w:hAnsi="Verdana"/>
        </w:rPr>
      </w:pPr>
      <w:r>
        <w:rPr>
          <w:rFonts w:ascii="Verdana" w:hAnsi="Verdana"/>
        </w:rPr>
        <w:t>Príslušné európske odvetvové organizácie v spolupráci s EFISC vypracovali tieto osobitné odvetvové dokumenty:</w:t>
      </w:r>
    </w:p>
    <w:p w:rsidR="005C03F3" w:rsidRPr="00C00A60" w:rsidRDefault="005C03F3" w:rsidP="005C03F3">
      <w:pPr>
        <w:pBdr>
          <w:top w:val="single" w:sz="4" w:space="1" w:color="auto"/>
          <w:left w:val="single" w:sz="4" w:space="4" w:color="auto"/>
          <w:bottom w:val="single" w:sz="4" w:space="0" w:color="auto"/>
          <w:right w:val="single" w:sz="4" w:space="4" w:color="auto"/>
        </w:pBdr>
        <w:shd w:val="clear" w:color="auto" w:fill="FDE9D9"/>
        <w:rPr>
          <w:rFonts w:ascii="Verdana" w:hAnsi="Verdana"/>
        </w:rPr>
      </w:pPr>
    </w:p>
    <w:p w:rsidR="005C03F3" w:rsidRPr="00AD68DE" w:rsidRDefault="00A43097" w:rsidP="00B8437E">
      <w:pPr>
        <w:pBdr>
          <w:top w:val="single" w:sz="4" w:space="1" w:color="auto"/>
          <w:left w:val="single" w:sz="4" w:space="4" w:color="auto"/>
          <w:bottom w:val="single" w:sz="4" w:space="0" w:color="auto"/>
          <w:right w:val="single" w:sz="4" w:space="4" w:color="auto"/>
        </w:pBdr>
        <w:shd w:val="clear" w:color="auto" w:fill="FDE9D9"/>
        <w:ind w:left="2124" w:hanging="2124"/>
        <w:rPr>
          <w:rFonts w:ascii="Verdana" w:hAnsi="Verdana"/>
          <w:b/>
        </w:rPr>
      </w:pPr>
      <w:hyperlink r:id="rId10">
        <w:r w:rsidR="00BB0799">
          <w:rPr>
            <w:rStyle w:val="Hyperlink"/>
            <w:rFonts w:ascii="Verdana" w:hAnsi="Verdana"/>
          </w:rPr>
          <w:t>Starch Europe</w:t>
        </w:r>
      </w:hyperlink>
      <w:r w:rsidR="00BB0799">
        <w:tab/>
      </w:r>
      <w:r w:rsidR="00BB0799">
        <w:rPr>
          <w:rFonts w:ascii="Verdana" w:hAnsi="Verdana"/>
        </w:rPr>
        <w:t>Referenčný odvetvový dokument o výrobe bezpečných kŕmnych surovín zo spracovania škrobu</w:t>
      </w:r>
    </w:p>
    <w:p w:rsidR="005C03F3" w:rsidRPr="00C00A60" w:rsidRDefault="00A43097" w:rsidP="00B8437E">
      <w:pPr>
        <w:pBdr>
          <w:top w:val="single" w:sz="4" w:space="1" w:color="auto"/>
          <w:left w:val="single" w:sz="4" w:space="4" w:color="auto"/>
          <w:bottom w:val="single" w:sz="4" w:space="0" w:color="auto"/>
          <w:right w:val="single" w:sz="4" w:space="4" w:color="auto"/>
        </w:pBdr>
        <w:shd w:val="clear" w:color="auto" w:fill="FDE9D9"/>
        <w:ind w:left="2124" w:hanging="2124"/>
        <w:rPr>
          <w:rFonts w:ascii="Verdana" w:hAnsi="Verdana"/>
        </w:rPr>
      </w:pPr>
      <w:hyperlink r:id="rId11">
        <w:r w:rsidR="00BB0799">
          <w:rPr>
            <w:rStyle w:val="Hyperlink"/>
            <w:rFonts w:ascii="Verdana" w:hAnsi="Verdana"/>
          </w:rPr>
          <w:t>FEDIOL</w:t>
        </w:r>
      </w:hyperlink>
      <w:r w:rsidR="00BB0799">
        <w:rPr>
          <w:rFonts w:ascii="Verdana" w:hAnsi="Verdana"/>
        </w:rPr>
        <w:t xml:space="preserve"> </w:t>
      </w:r>
      <w:r w:rsidR="00BB0799">
        <w:tab/>
      </w:r>
      <w:r w:rsidR="00BB0799">
        <w:rPr>
          <w:rFonts w:ascii="Verdana" w:hAnsi="Verdana"/>
        </w:rPr>
        <w:t>Referenčný odvetvový dokument o výrobe bezpečných kŕmnych surovín z drvenia olejnatých semien a rafinácie rastlinných olejov</w:t>
      </w:r>
    </w:p>
    <w:p w:rsidR="005C03F3" w:rsidRPr="005C03F3" w:rsidRDefault="00A43097" w:rsidP="00B8437E">
      <w:pPr>
        <w:pBdr>
          <w:top w:val="single" w:sz="4" w:space="1" w:color="auto"/>
          <w:left w:val="single" w:sz="4" w:space="4" w:color="auto"/>
          <w:bottom w:val="single" w:sz="4" w:space="0" w:color="auto"/>
          <w:right w:val="single" w:sz="4" w:space="4" w:color="auto"/>
        </w:pBdr>
        <w:shd w:val="clear" w:color="auto" w:fill="FDE9D9"/>
        <w:ind w:left="2124" w:hanging="2124"/>
        <w:rPr>
          <w:rFonts w:ascii="Verdana" w:hAnsi="Verdana"/>
          <w:b/>
        </w:rPr>
      </w:pPr>
      <w:hyperlink r:id="rId12">
        <w:r w:rsidR="00BB0799">
          <w:rPr>
            <w:rStyle w:val="Hyperlink"/>
            <w:rFonts w:ascii="Verdana" w:hAnsi="Verdana"/>
            <w:b/>
          </w:rPr>
          <w:t>EBB</w:t>
        </w:r>
      </w:hyperlink>
      <w:r w:rsidR="00BB0799">
        <w:tab/>
      </w:r>
      <w:r w:rsidR="00BB0799">
        <w:rPr>
          <w:rFonts w:ascii="Verdana" w:hAnsi="Verdana"/>
          <w:b/>
        </w:rPr>
        <w:t>Referenčný odvetvový dokument o výrobe bezpečných kŕmnych surovín zo spracovania bionafty</w:t>
      </w:r>
    </w:p>
    <w:p w:rsidR="005C03F3" w:rsidRPr="00C00A60" w:rsidRDefault="005C03F3" w:rsidP="005C03F3">
      <w:pPr>
        <w:pBdr>
          <w:top w:val="single" w:sz="4" w:space="1" w:color="auto"/>
          <w:left w:val="single" w:sz="4" w:space="4" w:color="auto"/>
          <w:bottom w:val="single" w:sz="4" w:space="0" w:color="auto"/>
          <w:right w:val="single" w:sz="4" w:space="4" w:color="auto"/>
        </w:pBdr>
        <w:shd w:val="clear" w:color="auto" w:fill="FDE9D9"/>
        <w:rPr>
          <w:rFonts w:ascii="Verdana" w:hAnsi="Verdana"/>
        </w:rPr>
      </w:pPr>
    </w:p>
    <w:p w:rsidR="005C03F3" w:rsidRPr="00C00A60" w:rsidRDefault="005C03F3" w:rsidP="005C03F3">
      <w:pPr>
        <w:pBdr>
          <w:top w:val="single" w:sz="4" w:space="1" w:color="auto"/>
          <w:left w:val="single" w:sz="4" w:space="4" w:color="auto"/>
          <w:bottom w:val="single" w:sz="4" w:space="0" w:color="auto"/>
          <w:right w:val="single" w:sz="4" w:space="4" w:color="auto"/>
        </w:pBdr>
        <w:shd w:val="clear" w:color="auto" w:fill="FDE9D9"/>
        <w:rPr>
          <w:rFonts w:ascii="Verdana" w:hAnsi="Verdana"/>
        </w:rPr>
      </w:pPr>
      <w:r>
        <w:rPr>
          <w:rFonts w:ascii="Verdana" w:hAnsi="Verdana"/>
        </w:rPr>
        <w:t>Táto Európska príručka sa sprístupňuje ďalším výrobcom kŕmnych surovín a predstavuje osobitný odvetvový dokument.</w:t>
      </w:r>
    </w:p>
    <w:p w:rsidR="00120270" w:rsidRDefault="00120270" w:rsidP="005C03F3">
      <w:pPr>
        <w:rPr>
          <w:rFonts w:ascii="Verdana" w:hAnsi="Verdana"/>
          <w:b/>
          <w:color w:val="808080"/>
          <w:sz w:val="22"/>
          <w:szCs w:val="22"/>
        </w:rPr>
      </w:pPr>
    </w:p>
    <w:p w:rsidR="005C03F3" w:rsidRPr="009218C6" w:rsidRDefault="005C03F3" w:rsidP="005C03F3">
      <w:pPr>
        <w:rPr>
          <w:rFonts w:ascii="Verdana" w:hAnsi="Verdana"/>
          <w:b/>
          <w:color w:val="808080"/>
          <w:sz w:val="22"/>
          <w:szCs w:val="22"/>
        </w:rPr>
      </w:pPr>
      <w:r>
        <w:rPr>
          <w:rFonts w:ascii="Verdana" w:hAnsi="Verdana"/>
          <w:b/>
          <w:color w:val="808080"/>
          <w:sz w:val="22"/>
        </w:rPr>
        <w:t>Informácie o EBB</w:t>
      </w:r>
      <w:r>
        <w:t xml:space="preserve"> </w:t>
      </w:r>
    </w:p>
    <w:p w:rsidR="005C03F3" w:rsidRPr="009218C6" w:rsidRDefault="005C03F3" w:rsidP="005C03F3">
      <w:pPr>
        <w:rPr>
          <w:rFonts w:ascii="Verdana" w:hAnsi="Verdana"/>
          <w:b/>
          <w:color w:val="808080"/>
          <w:sz w:val="22"/>
          <w:szCs w:val="22"/>
        </w:rPr>
      </w:pPr>
    </w:p>
    <w:p w:rsidR="005C03F3" w:rsidRPr="009218C6" w:rsidRDefault="005C03F3" w:rsidP="005C03F3">
      <w:pPr>
        <w:rPr>
          <w:rFonts w:ascii="Verdana" w:hAnsi="Verdana"/>
          <w:sz w:val="22"/>
          <w:szCs w:val="22"/>
        </w:rPr>
      </w:pPr>
      <w:r>
        <w:rPr>
          <w:rFonts w:ascii="Verdana" w:hAnsi="Verdana"/>
          <w:sz w:val="22"/>
        </w:rPr>
        <w:t>Kontaktujte:</w:t>
      </w:r>
    </w:p>
    <w:p w:rsidR="005C03F3" w:rsidRPr="009218C6" w:rsidRDefault="005C03F3" w:rsidP="005C03F3">
      <w:pPr>
        <w:rPr>
          <w:rFonts w:ascii="Verdana" w:hAnsi="Verdana"/>
          <w:sz w:val="22"/>
          <w:szCs w:val="22"/>
        </w:rPr>
      </w:pPr>
    </w:p>
    <w:p w:rsidR="005C03F3" w:rsidRDefault="005C03F3" w:rsidP="005C03F3">
      <w:pPr>
        <w:rPr>
          <w:rFonts w:ascii="Verdana" w:hAnsi="Verdana"/>
          <w:bCs/>
          <w:color w:val="006633"/>
          <w:sz w:val="22"/>
          <w:szCs w:val="22"/>
        </w:rPr>
      </w:pPr>
      <w:r>
        <w:rPr>
          <w:rFonts w:ascii="Verdana" w:hAnsi="Verdana"/>
          <w:color w:val="006633"/>
          <w:sz w:val="22"/>
        </w:rPr>
        <w:t>European Biodiesel Board (EBB)</w:t>
      </w:r>
      <w:r>
        <w:tab/>
      </w:r>
      <w:r>
        <w:rPr>
          <w:rFonts w:ascii="Verdana" w:hAnsi="Verdana"/>
          <w:b/>
          <w:color w:val="006633"/>
          <w:sz w:val="32"/>
        </w:rPr>
        <w:t>EBB</w:t>
      </w:r>
      <w:r>
        <w:rPr>
          <w:rFonts w:ascii="Verdana" w:hAnsi="Verdana"/>
          <w:bCs/>
          <w:color w:val="006633"/>
          <w:sz w:val="22"/>
          <w:szCs w:val="22"/>
        </w:rPr>
        <w:br/>
      </w:r>
      <w:r>
        <w:rPr>
          <w:rFonts w:ascii="Verdana" w:hAnsi="Verdana"/>
          <w:color w:val="006633"/>
          <w:sz w:val="22"/>
        </w:rPr>
        <w:t xml:space="preserve">Boulevard Saint Michel 34 </w:t>
      </w:r>
      <w:r>
        <w:tab/>
      </w:r>
      <w:r>
        <w:tab/>
      </w:r>
      <w:r>
        <w:rPr>
          <w:rFonts w:ascii="Verdana" w:hAnsi="Verdana"/>
          <w:color w:val="006633"/>
          <w:sz w:val="28"/>
        </w:rPr>
        <w:t>European Biodiesel Board</w:t>
      </w:r>
      <w:r>
        <w:rPr>
          <w:rFonts w:ascii="Verdana" w:hAnsi="Verdana"/>
          <w:bCs/>
          <w:color w:val="006633"/>
          <w:sz w:val="22"/>
          <w:szCs w:val="22"/>
        </w:rPr>
        <w:br/>
      </w:r>
      <w:r>
        <w:rPr>
          <w:rFonts w:ascii="Verdana" w:hAnsi="Verdana"/>
          <w:color w:val="006633"/>
          <w:sz w:val="22"/>
        </w:rPr>
        <w:t>1040 Brussels, Belgium</w:t>
      </w:r>
      <w:r>
        <w:rPr>
          <w:rFonts w:ascii="Verdana" w:hAnsi="Verdana"/>
          <w:bCs/>
          <w:color w:val="006633"/>
          <w:sz w:val="22"/>
          <w:szCs w:val="22"/>
        </w:rPr>
        <w:br/>
      </w:r>
      <w:r>
        <w:rPr>
          <w:rFonts w:ascii="Verdana" w:hAnsi="Verdana"/>
          <w:color w:val="006633"/>
          <w:sz w:val="22"/>
        </w:rPr>
        <w:t>Tel: +32 (0)2 763 2477</w:t>
      </w:r>
      <w:r>
        <w:rPr>
          <w:rFonts w:ascii="Verdana" w:hAnsi="Verdana"/>
          <w:bCs/>
          <w:color w:val="006633"/>
          <w:sz w:val="22"/>
          <w:szCs w:val="22"/>
        </w:rPr>
        <w:br/>
      </w:r>
      <w:r>
        <w:rPr>
          <w:rFonts w:ascii="Verdana" w:hAnsi="Verdana"/>
          <w:color w:val="006633"/>
          <w:sz w:val="22"/>
        </w:rPr>
        <w:t>Fax: +32 (0)2 763 0457</w:t>
      </w:r>
    </w:p>
    <w:p w:rsidR="005C03F3" w:rsidRPr="00E32034" w:rsidRDefault="005C03F3" w:rsidP="006558BC">
      <w:pPr>
        <w:rPr>
          <w:rFonts w:ascii="Verdana" w:hAnsi="Verdana"/>
          <w:sz w:val="22"/>
          <w:szCs w:val="22"/>
        </w:rPr>
      </w:pPr>
      <w:r>
        <w:rPr>
          <w:rFonts w:ascii="Verdana" w:hAnsi="Verdana"/>
          <w:sz w:val="22"/>
        </w:rPr>
        <w:t xml:space="preserve">E-mail: </w:t>
      </w:r>
      <w:hyperlink r:id="rId13" w:tooltip="ebb@ebb-eu.org">
        <w:r>
          <w:rPr>
            <w:rStyle w:val="Hyperlink"/>
            <w:rFonts w:ascii="Verdana" w:hAnsi="Verdana"/>
            <w:sz w:val="22"/>
          </w:rPr>
          <w:t>ebb@ebb-eu.org</w:t>
        </w:r>
      </w:hyperlink>
    </w:p>
    <w:p w:rsidR="004D14B9" w:rsidRPr="006D03F1" w:rsidRDefault="004D14B9" w:rsidP="006558BC">
      <w:pPr>
        <w:rPr>
          <w:rFonts w:ascii="Verdana" w:hAnsi="Verdana"/>
          <w:sz w:val="22"/>
          <w:szCs w:val="22"/>
        </w:rPr>
      </w:pPr>
      <w:r>
        <w:rPr>
          <w:rFonts w:ascii="Verdana" w:hAnsi="Verdana"/>
          <w:sz w:val="22"/>
        </w:rPr>
        <w:t xml:space="preserve">webové sídlo: </w:t>
      </w:r>
      <w:hyperlink r:id="rId14">
        <w:r>
          <w:rPr>
            <w:rStyle w:val="Hyperlink"/>
            <w:rFonts w:ascii="Verdana" w:hAnsi="Verdana"/>
            <w:sz w:val="22"/>
          </w:rPr>
          <w:t>www.ebb-eu.org</w:t>
        </w:r>
      </w:hyperlink>
    </w:p>
    <w:p w:rsidR="005C03F3" w:rsidRPr="006D03F1" w:rsidRDefault="005C03F3" w:rsidP="005C03F3">
      <w:pPr>
        <w:rPr>
          <w:rFonts w:ascii="Verdana" w:hAnsi="Verdana"/>
          <w:b/>
          <w:color w:val="808080"/>
          <w:sz w:val="22"/>
          <w:szCs w:val="22"/>
        </w:rPr>
      </w:pPr>
    </w:p>
    <w:p w:rsidR="00660F29" w:rsidRPr="006D03F1" w:rsidRDefault="005C03F3" w:rsidP="005C03F3">
      <w:pPr>
        <w:rPr>
          <w:rFonts w:ascii="Verdana" w:hAnsi="Verdana"/>
          <w:b/>
          <w:color w:val="808080"/>
          <w:sz w:val="22"/>
          <w:szCs w:val="22"/>
        </w:rPr>
      </w:pPr>
      <w:r>
        <w:rPr>
          <w:rFonts w:ascii="Verdana" w:hAnsi="Verdana"/>
          <w:b/>
          <w:color w:val="808080"/>
          <w:sz w:val="22"/>
        </w:rPr>
        <w:t>Informácie o EFISC</w:t>
      </w:r>
    </w:p>
    <w:p w:rsidR="005C03F3" w:rsidRPr="00942E2E" w:rsidRDefault="00660F29" w:rsidP="00660F29">
      <w:pPr>
        <w:ind w:firstLine="708"/>
        <w:jc w:val="right"/>
        <w:rPr>
          <w:rFonts w:ascii="Verdana" w:hAnsi="Verdana"/>
          <w:b/>
          <w:color w:val="1F497D" w:themeColor="text2"/>
          <w:sz w:val="36"/>
          <w:szCs w:val="36"/>
        </w:rPr>
      </w:pPr>
      <w:r>
        <w:rPr>
          <w:rFonts w:ascii="Verdana" w:hAnsi="Verdana"/>
          <w:b/>
          <w:color w:val="1F497D" w:themeColor="text2"/>
          <w:sz w:val="36"/>
        </w:rPr>
        <w:t>EFISC</w:t>
      </w:r>
    </w:p>
    <w:p w:rsidR="005C03F3" w:rsidRPr="00942E2E" w:rsidRDefault="00660F29" w:rsidP="00942E2E">
      <w:pPr>
        <w:jc w:val="right"/>
        <w:rPr>
          <w:rFonts w:ascii="Verdana" w:hAnsi="Verdana"/>
          <w:b/>
          <w:color w:val="1F497D" w:themeColor="text2"/>
          <w:sz w:val="16"/>
          <w:szCs w:val="16"/>
        </w:rPr>
      </w:pPr>
      <w:r>
        <w:rPr>
          <w:rFonts w:ascii="Verdana" w:hAnsi="Verdana"/>
          <w:b/>
          <w:color w:val="1F497D" w:themeColor="text2"/>
          <w:sz w:val="16"/>
        </w:rPr>
        <w:t>European Feed Ingredients Safety Certification (Európska bezpečnostná certifikácia zložiek krmív)</w:t>
      </w:r>
    </w:p>
    <w:p w:rsidR="005C03F3" w:rsidRPr="006D03F1" w:rsidRDefault="005C03F3" w:rsidP="005C03F3">
      <w:pPr>
        <w:rPr>
          <w:rFonts w:ascii="Verdana" w:hAnsi="Verdana"/>
          <w:sz w:val="22"/>
          <w:szCs w:val="22"/>
        </w:rPr>
      </w:pPr>
      <w:r>
        <w:rPr>
          <w:rFonts w:ascii="Verdana" w:hAnsi="Verdana"/>
          <w:sz w:val="22"/>
        </w:rPr>
        <w:t>Kontaktujte:</w:t>
      </w:r>
    </w:p>
    <w:p w:rsidR="005C03F3" w:rsidRPr="006D03F1" w:rsidRDefault="005C03F3" w:rsidP="005C03F3">
      <w:pPr>
        <w:rPr>
          <w:rFonts w:ascii="Verdana" w:hAnsi="Verdana"/>
          <w:sz w:val="22"/>
          <w:szCs w:val="22"/>
        </w:rPr>
      </w:pPr>
    </w:p>
    <w:p w:rsidR="005C03F3" w:rsidRPr="008E5292" w:rsidRDefault="005C03F3" w:rsidP="005C03F3">
      <w:pPr>
        <w:rPr>
          <w:rFonts w:ascii="Verdana" w:hAnsi="Verdana"/>
          <w:sz w:val="22"/>
          <w:szCs w:val="22"/>
        </w:rPr>
      </w:pPr>
      <w:r>
        <w:rPr>
          <w:rFonts w:ascii="Verdana" w:hAnsi="Verdana"/>
          <w:sz w:val="22"/>
        </w:rPr>
        <w:t>EFISC Aisbl</w:t>
      </w:r>
    </w:p>
    <w:p w:rsidR="005C03F3" w:rsidRPr="00AD68DE" w:rsidRDefault="000F0077" w:rsidP="005C03F3">
      <w:pPr>
        <w:rPr>
          <w:rFonts w:ascii="Verdana" w:hAnsi="Verdana"/>
          <w:sz w:val="22"/>
          <w:szCs w:val="22"/>
        </w:rPr>
      </w:pPr>
      <w:r>
        <w:rPr>
          <w:rFonts w:ascii="Verdana" w:hAnsi="Verdana"/>
          <w:sz w:val="22"/>
        </w:rPr>
        <w:t>Avenue des Arts 43 c/o Starch Europe</w:t>
      </w:r>
    </w:p>
    <w:p w:rsidR="005C03F3" w:rsidRPr="008A645C" w:rsidRDefault="005C03F3" w:rsidP="005C03F3">
      <w:pPr>
        <w:rPr>
          <w:rFonts w:ascii="Verdana" w:hAnsi="Verdana"/>
          <w:sz w:val="22"/>
          <w:szCs w:val="22"/>
        </w:rPr>
      </w:pPr>
      <w:r>
        <w:rPr>
          <w:rFonts w:ascii="Verdana" w:hAnsi="Verdana"/>
          <w:sz w:val="22"/>
        </w:rPr>
        <w:t>B 1040 Brusel</w:t>
      </w:r>
    </w:p>
    <w:p w:rsidR="005C03F3" w:rsidRPr="0072409A" w:rsidRDefault="005C03F3" w:rsidP="005C03F3">
      <w:pPr>
        <w:rPr>
          <w:rFonts w:ascii="Verdana" w:hAnsi="Verdana"/>
          <w:sz w:val="22"/>
          <w:szCs w:val="22"/>
        </w:rPr>
      </w:pPr>
      <w:r>
        <w:rPr>
          <w:rFonts w:ascii="Verdana" w:hAnsi="Verdana"/>
          <w:color w:val="000000"/>
          <w:kern w:val="28"/>
          <w:sz w:val="22"/>
        </w:rPr>
        <w:t>Tel.: + 32 (0)2 771 5330</w:t>
      </w:r>
    </w:p>
    <w:p w:rsidR="005C03F3" w:rsidRPr="0072409A" w:rsidRDefault="005C03F3" w:rsidP="005C03F3">
      <w:pPr>
        <w:rPr>
          <w:rFonts w:ascii="Verdana" w:hAnsi="Verdana"/>
          <w:sz w:val="22"/>
          <w:szCs w:val="22"/>
        </w:rPr>
      </w:pPr>
      <w:r>
        <w:rPr>
          <w:rFonts w:ascii="Verdana" w:hAnsi="Verdana"/>
          <w:color w:val="000000"/>
          <w:kern w:val="28"/>
          <w:sz w:val="22"/>
        </w:rPr>
        <w:t>Fax: + 32 (0)2 771 3817</w:t>
      </w:r>
    </w:p>
    <w:p w:rsidR="005C03F3" w:rsidRPr="0072409A" w:rsidRDefault="005C03F3" w:rsidP="006558BC">
      <w:pPr>
        <w:rPr>
          <w:rFonts w:ascii="Verdana" w:hAnsi="Verdana"/>
          <w:sz w:val="22"/>
          <w:szCs w:val="22"/>
        </w:rPr>
      </w:pPr>
      <w:r>
        <w:rPr>
          <w:rFonts w:ascii="Verdana" w:hAnsi="Verdana"/>
          <w:sz w:val="22"/>
        </w:rPr>
        <w:t xml:space="preserve">E-mail: </w:t>
      </w:r>
      <w:hyperlink r:id="rId15">
        <w:r>
          <w:rPr>
            <w:rFonts w:ascii="Verdana" w:hAnsi="Verdana"/>
            <w:sz w:val="22"/>
          </w:rPr>
          <w:t>info@efisc.eu</w:t>
        </w:r>
      </w:hyperlink>
    </w:p>
    <w:p w:rsidR="005C03F3" w:rsidRPr="009218C6" w:rsidRDefault="005C03F3" w:rsidP="006558BC">
      <w:pPr>
        <w:rPr>
          <w:rFonts w:ascii="Verdana" w:hAnsi="Verdana"/>
          <w:sz w:val="22"/>
          <w:szCs w:val="22"/>
        </w:rPr>
      </w:pPr>
      <w:r>
        <w:rPr>
          <w:rFonts w:ascii="Verdana" w:hAnsi="Verdana"/>
          <w:sz w:val="22"/>
        </w:rPr>
        <w:t xml:space="preserve">webové sídlo: </w:t>
      </w:r>
      <w:hyperlink r:id="rId16">
        <w:r>
          <w:rPr>
            <w:rFonts w:ascii="Verdana" w:hAnsi="Verdana"/>
            <w:sz w:val="22"/>
          </w:rPr>
          <w:t>www.efisc.eu</w:t>
        </w:r>
      </w:hyperlink>
    </w:p>
    <w:p w:rsidR="005C03F3" w:rsidRDefault="005C03F3" w:rsidP="005C03F3">
      <w:pPr>
        <w:widowControl w:val="0"/>
        <w:spacing w:after="140"/>
        <w:rPr>
          <w:rFonts w:ascii="Verdana" w:hAnsi="Verdana"/>
          <w:b/>
          <w:color w:val="808080"/>
          <w:kern w:val="28"/>
          <w:sz w:val="22"/>
          <w:szCs w:val="22"/>
        </w:rPr>
      </w:pPr>
    </w:p>
    <w:p w:rsidR="00416305" w:rsidRPr="00AD68DE" w:rsidRDefault="00416305" w:rsidP="00416305">
      <w:pPr>
        <w:widowControl w:val="0"/>
        <w:spacing w:after="140"/>
        <w:rPr>
          <w:rFonts w:ascii="Verdana" w:hAnsi="Verdana"/>
          <w:b/>
          <w:color w:val="808080"/>
          <w:kern w:val="28"/>
          <w:sz w:val="22"/>
          <w:szCs w:val="22"/>
        </w:rPr>
      </w:pPr>
      <w:r>
        <w:rPr>
          <w:rFonts w:ascii="Verdana" w:hAnsi="Verdana"/>
          <w:b/>
          <w:color w:val="808080"/>
          <w:kern w:val="28"/>
          <w:sz w:val="22"/>
        </w:rPr>
        <w:t>Informácie o vydávaní a autorských právach</w:t>
      </w:r>
    </w:p>
    <w:p w:rsidR="00416305" w:rsidRDefault="00416305" w:rsidP="00416305">
      <w:pPr>
        <w:widowControl w:val="0"/>
        <w:spacing w:after="140"/>
        <w:rPr>
          <w:rFonts w:ascii="Verdana" w:hAnsi="Verdana"/>
          <w:sz w:val="22"/>
          <w:szCs w:val="22"/>
        </w:rPr>
      </w:pPr>
      <w:r>
        <w:rPr>
          <w:rFonts w:ascii="Verdana" w:hAnsi="Verdana"/>
          <w:sz w:val="22"/>
        </w:rPr>
        <w:t>Všetky práva vyhradené. ©EFISC Aisbl</w:t>
      </w:r>
    </w:p>
    <w:p w:rsidR="00416305" w:rsidRDefault="00416305" w:rsidP="00416305">
      <w:pPr>
        <w:widowControl w:val="0"/>
        <w:spacing w:after="140"/>
        <w:rPr>
          <w:rFonts w:ascii="Verdana" w:hAnsi="Verdana"/>
          <w:color w:val="000000"/>
          <w:kern w:val="28"/>
          <w:sz w:val="22"/>
          <w:szCs w:val="22"/>
        </w:rPr>
      </w:pPr>
      <w:r>
        <w:rPr>
          <w:rFonts w:ascii="Verdana" w:hAnsi="Verdana"/>
          <w:color w:val="000000"/>
          <w:kern w:val="28"/>
          <w:sz w:val="22"/>
        </w:rPr>
        <w:t>Verzia 1.1</w:t>
      </w:r>
    </w:p>
    <w:p w:rsidR="005C03F3" w:rsidRPr="00416305" w:rsidRDefault="00416305" w:rsidP="00416305">
      <w:pPr>
        <w:widowControl w:val="0"/>
        <w:spacing w:after="140"/>
        <w:rPr>
          <w:rFonts w:ascii="Verdana" w:hAnsi="Verdana"/>
          <w:b/>
          <w:color w:val="000000"/>
          <w:kern w:val="28"/>
          <w:sz w:val="22"/>
          <w:szCs w:val="22"/>
        </w:rPr>
      </w:pPr>
      <w:r>
        <w:rPr>
          <w:rFonts w:ascii="Verdana" w:hAnsi="Verdana"/>
          <w:color w:val="000000"/>
          <w:kern w:val="28"/>
          <w:sz w:val="22"/>
        </w:rPr>
        <w:t>V účinnosti od: novembra 2014</w:t>
      </w:r>
    </w:p>
    <w:p w:rsidR="005E187D" w:rsidRPr="00E016F1" w:rsidRDefault="005C03F3">
      <w:pPr>
        <w:rPr>
          <w:rStyle w:val="Strong"/>
          <w:rFonts w:ascii="Verdana" w:hAnsi="Verdana" w:cs="Tahoma"/>
          <w:b w:val="0"/>
          <w:bCs w:val="0"/>
          <w:szCs w:val="20"/>
        </w:rPr>
      </w:pPr>
      <w:r>
        <w:lastRenderedPageBreak/>
        <w:br w:type="page"/>
      </w:r>
      <w:r>
        <w:rPr>
          <w:rStyle w:val="Strong"/>
          <w:rFonts w:ascii="Verdana" w:hAnsi="Verdana"/>
          <w:b w:val="0"/>
        </w:rPr>
        <w:lastRenderedPageBreak/>
        <w:t xml:space="preserve"> </w:t>
      </w:r>
    </w:p>
    <w:p w:rsidR="00120270" w:rsidRPr="003737F1" w:rsidRDefault="00120270" w:rsidP="00120270">
      <w:pPr>
        <w:pBdr>
          <w:top w:val="single" w:sz="4" w:space="1" w:color="auto"/>
          <w:left w:val="single" w:sz="4" w:space="4" w:color="auto"/>
          <w:bottom w:val="single" w:sz="4" w:space="1" w:color="auto"/>
          <w:right w:val="single" w:sz="4" w:space="4" w:color="auto"/>
        </w:pBdr>
        <w:shd w:val="clear" w:color="auto" w:fill="FDE9D9"/>
        <w:jc w:val="center"/>
        <w:rPr>
          <w:rFonts w:cs="Tahoma"/>
        </w:rPr>
      </w:pPr>
      <w:r>
        <w:rPr>
          <w:color w:val="FF0000"/>
        </w:rPr>
        <w:t>V tomto odvetvovom dokumente týkajúcom sa odvetvia bionafty nie sú posudzované výrobné procesy živočíšnych tukov/odpadových olejov a z nich získaných kŕmnych surovín, ktoré sú preto vyňaté z tohto odvetvového dokumentu a vylúčené z certifikácie EFISC.</w:t>
      </w:r>
    </w:p>
    <w:p w:rsidR="007C2084" w:rsidRPr="00F66E5E" w:rsidRDefault="007C2084" w:rsidP="006D3ABA">
      <w:pPr>
        <w:jc w:val="both"/>
        <w:rPr>
          <w:rFonts w:ascii="Verdana" w:hAnsi="Verdana" w:cs="Tahoma"/>
          <w:szCs w:val="20"/>
        </w:rPr>
      </w:pPr>
    </w:p>
    <w:p w:rsidR="00120270" w:rsidRPr="00E752D5" w:rsidRDefault="00120270" w:rsidP="00120270">
      <w:pPr>
        <w:pBdr>
          <w:top w:val="single" w:sz="4" w:space="1" w:color="auto"/>
          <w:left w:val="single" w:sz="4" w:space="4" w:color="auto"/>
          <w:bottom w:val="single" w:sz="4" w:space="1" w:color="auto"/>
          <w:right w:val="single" w:sz="4" w:space="4" w:color="auto"/>
        </w:pBdr>
        <w:jc w:val="center"/>
        <w:rPr>
          <w:rFonts w:ascii="Verdana" w:hAnsi="Verdana"/>
        </w:rPr>
      </w:pPr>
      <w:r>
        <w:rPr>
          <w:rFonts w:ascii="Verdana" w:hAnsi="Verdana"/>
        </w:rPr>
        <w:t>V tomto posúdení rizík sa vychádza z referenčného odvetvového dokumentu FEDIOL-u (Príloha 4 k Európskej príručke pre správnu prax pre priemyselnú výrobu bezpečných kŕmnych surovín) pre výrobu rastlinných olejov. Jej východiskovým bodom je preto preprava vstupných materiálov.</w:t>
      </w:r>
    </w:p>
    <w:p w:rsidR="00387FC1" w:rsidRPr="00F66E5E" w:rsidRDefault="00387FC1" w:rsidP="006D3ABA">
      <w:pPr>
        <w:jc w:val="both"/>
        <w:rPr>
          <w:rFonts w:ascii="Verdana" w:hAnsi="Verdana" w:cs="Tahoma"/>
          <w:szCs w:val="20"/>
        </w:rPr>
      </w:pPr>
    </w:p>
    <w:p w:rsidR="00C24B83" w:rsidRPr="00300F3C" w:rsidRDefault="00C24B83" w:rsidP="00DD7B4B">
      <w:pPr>
        <w:pStyle w:val="Heading1"/>
        <w:tabs>
          <w:tab w:val="clear" w:pos="432"/>
          <w:tab w:val="num" w:pos="408"/>
        </w:tabs>
        <w:rPr>
          <w:rFonts w:ascii="Verdana" w:hAnsi="Verdana" w:cs="Tahoma"/>
        </w:rPr>
      </w:pPr>
      <w:bookmarkStart w:id="0" w:name="_Toc438220113"/>
      <w:r>
        <w:rPr>
          <w:rFonts w:ascii="Verdana" w:hAnsi="Verdana"/>
        </w:rPr>
        <w:t>Úvod</w:t>
      </w:r>
      <w:bookmarkEnd w:id="0"/>
      <w:r>
        <w:rPr>
          <w:rFonts w:ascii="Verdana" w:hAnsi="Verdana"/>
        </w:rPr>
        <w:t xml:space="preserve"> </w:t>
      </w:r>
    </w:p>
    <w:p w:rsidR="00C24B83" w:rsidRPr="00E016F1" w:rsidRDefault="00C24B83" w:rsidP="00C24B83">
      <w:pPr>
        <w:rPr>
          <w:rFonts w:ascii="Verdana" w:hAnsi="Verdana"/>
        </w:rPr>
      </w:pPr>
    </w:p>
    <w:p w:rsidR="00F66E5E" w:rsidRDefault="00C24B83" w:rsidP="00C24B83">
      <w:pPr>
        <w:jc w:val="both"/>
        <w:rPr>
          <w:rFonts w:ascii="Verdana" w:hAnsi="Verdana" w:cs="Tahoma"/>
        </w:rPr>
      </w:pPr>
      <w:r>
        <w:rPr>
          <w:rFonts w:ascii="Verdana" w:hAnsi="Verdana"/>
        </w:rPr>
        <w:t xml:space="preserve">Členovia Európskej rady pre bionaftu (European Biodiesel Board, ďalej len „EBB“) vyrábajú okrem bionafty množstvo vedľajších produktov, ktoré sa používajú ako krmivo pre zvieratá a na technické účely. Členmi EBB je takmer 80 spoločností a združení so sídlom v 21 členských štátoch EÚ. </w:t>
      </w:r>
    </w:p>
    <w:p w:rsidR="00F66E5E" w:rsidRPr="00300F3C" w:rsidRDefault="00F66E5E" w:rsidP="00C24B83">
      <w:pPr>
        <w:jc w:val="both"/>
        <w:rPr>
          <w:rFonts w:ascii="Verdana" w:hAnsi="Verdana" w:cs="Tahoma"/>
        </w:rPr>
      </w:pPr>
    </w:p>
    <w:p w:rsidR="00C24B83" w:rsidRPr="00300F3C" w:rsidRDefault="00C24B83" w:rsidP="00C24B83">
      <w:pPr>
        <w:pStyle w:val="NoSpacing"/>
        <w:rPr>
          <w:rFonts w:ascii="Verdana" w:hAnsi="Verdana" w:cs="Tahoma"/>
        </w:rPr>
      </w:pPr>
      <w:r>
        <w:rPr>
          <w:rFonts w:ascii="Verdana" w:hAnsi="Verdana"/>
        </w:rPr>
        <w:t xml:space="preserve">Členovia EBB sú odhodlaní vyrábať bezpečné kŕmne suroviny a preukázať ich súlad s európskymi požiadavkami na bezpečnosť a ochranu zdravia. Najmä v rámci nariadenia (ES) č. 183/2005 o hygiene krmív, ako aj v rámci Katalógu kŕmnych surovín [nariadenie (EÚ) č. 68/2013]. </w:t>
      </w:r>
    </w:p>
    <w:p w:rsidR="00C24B83" w:rsidRPr="00300F3C" w:rsidRDefault="00C24B83" w:rsidP="00C24B83">
      <w:pPr>
        <w:pStyle w:val="NoSpacing"/>
        <w:rPr>
          <w:rFonts w:ascii="Verdana" w:hAnsi="Verdana" w:cs="Tahoma"/>
        </w:rPr>
      </w:pPr>
    </w:p>
    <w:p w:rsidR="00C24B83" w:rsidRPr="00300F3C" w:rsidRDefault="00C24B83" w:rsidP="00C24B83">
      <w:pPr>
        <w:pStyle w:val="NoSpacing"/>
        <w:rPr>
          <w:rFonts w:ascii="Verdana" w:hAnsi="Verdana" w:cs="Tahoma"/>
        </w:rPr>
      </w:pPr>
      <w:r>
        <w:rPr>
          <w:rFonts w:ascii="Verdana" w:hAnsi="Verdana"/>
        </w:rPr>
        <w:t xml:space="preserve">Bionafta je obnoviteľné palivo, ktoré je udržateľnou alternatívou k fosílnym palivám. Okrem zníženia emisií skleníkových plynov v európskej doprave, bionafta poskytuje veľké množstvá glycerínu, ktorý sa používa ako krmivo pre zvieratá, a ďalšie vedľajšie produkty používané na technické účely. </w:t>
      </w:r>
    </w:p>
    <w:p w:rsidR="00C24B83" w:rsidRPr="00300F3C" w:rsidRDefault="00C24B83" w:rsidP="00C24B83">
      <w:pPr>
        <w:pStyle w:val="NoSpacing"/>
        <w:rPr>
          <w:rFonts w:ascii="Verdana" w:hAnsi="Verdana" w:cs="Tahoma"/>
        </w:rPr>
      </w:pPr>
    </w:p>
    <w:p w:rsidR="007C2084" w:rsidRDefault="00C24B83" w:rsidP="00C24B83">
      <w:pPr>
        <w:pStyle w:val="NoSpacing"/>
        <w:rPr>
          <w:rFonts w:ascii="Verdana" w:hAnsi="Verdana" w:cs="Tahoma"/>
        </w:rPr>
      </w:pPr>
      <w:r>
        <w:rPr>
          <w:rFonts w:ascii="Verdana" w:hAnsi="Verdana"/>
        </w:rPr>
        <w:t xml:space="preserve">Tento dokument je určený na podporu zariadení na výrobu bionafty pri dodávaní bezpečných kŕmnych surovín. EBB vykonala posúdenia rizík reťazca kŕmnych surovín z hlavných vstupných materiálov, ktoré sa spracúvajú v odvetví bionafty. Tieto posúdenia ponúkajú výrobcom bionafty nástroj na hodnotenie ich vlastného systému riadenia bezpečnosti krmív. Podporujú ich aj v dialógu o kontrole reťazca, ktorý vedú so svojimi odberateľmi, dodávateľmi a ďalšími zainteresovanými stranami. V posúdení rizík s uvedením kontrolných opatrení sa ďalej podrobne opisuje koncepcia systému HACCP a podporné programy nevyhnutných predpokladov uvedené v kapitolách 5 a 6 priloženej Príručky EÚ. </w:t>
      </w:r>
    </w:p>
    <w:p w:rsidR="00EF37AB" w:rsidRPr="00300F3C" w:rsidRDefault="00EF37AB" w:rsidP="00C24B83">
      <w:pPr>
        <w:pStyle w:val="NoSpacing"/>
        <w:rPr>
          <w:rFonts w:ascii="Verdana" w:hAnsi="Verdana" w:cs="Tahoma"/>
        </w:rPr>
      </w:pPr>
    </w:p>
    <w:p w:rsidR="00C24B83" w:rsidRPr="00300F3C" w:rsidRDefault="00C24B83" w:rsidP="00C24B83">
      <w:pPr>
        <w:pStyle w:val="NoSpacing"/>
        <w:rPr>
          <w:rFonts w:ascii="Verdana" w:hAnsi="Verdana" w:cs="Tahoma"/>
        </w:rPr>
      </w:pPr>
      <w:r>
        <w:rPr>
          <w:rFonts w:ascii="Verdana" w:hAnsi="Verdana"/>
        </w:rPr>
        <w:t xml:space="preserve">EBB by chcela zdôrazniť, že za dodávanie bezpečných krmív sú naďalej primárne zodpovedné spoločnosti a že toto posúdenie rizík nemôže nahradiť žiadnu zodpovednosť. </w:t>
      </w:r>
    </w:p>
    <w:p w:rsidR="00863625" w:rsidRPr="00300F3C" w:rsidRDefault="00863625" w:rsidP="006D3ABA">
      <w:pPr>
        <w:jc w:val="both"/>
        <w:rPr>
          <w:rFonts w:ascii="Verdana" w:hAnsi="Verdana" w:cs="Tahoma"/>
          <w:szCs w:val="20"/>
        </w:rPr>
      </w:pPr>
    </w:p>
    <w:p w:rsidR="007207A0" w:rsidRPr="00E016F1" w:rsidRDefault="007207A0" w:rsidP="00A54A61">
      <w:pPr>
        <w:jc w:val="both"/>
        <w:rPr>
          <w:rFonts w:ascii="Verdana" w:hAnsi="Verdana"/>
        </w:rPr>
      </w:pPr>
    </w:p>
    <w:p w:rsidR="007207A0" w:rsidRPr="00300F3C" w:rsidRDefault="00387FC1" w:rsidP="004835CF">
      <w:pPr>
        <w:jc w:val="center"/>
        <w:rPr>
          <w:rFonts w:ascii="Verdana" w:hAnsi="Verdana"/>
          <w:b/>
          <w:sz w:val="22"/>
          <w:szCs w:val="22"/>
        </w:rPr>
      </w:pPr>
      <w:r>
        <w:br w:type="page"/>
      </w:r>
      <w:r>
        <w:rPr>
          <w:rFonts w:ascii="Verdana" w:hAnsi="Verdana"/>
          <w:b/>
          <w:sz w:val="22"/>
        </w:rPr>
        <w:lastRenderedPageBreak/>
        <w:t>Obsah</w:t>
      </w:r>
    </w:p>
    <w:p w:rsidR="009054A0" w:rsidRPr="00300F3C" w:rsidRDefault="009054A0" w:rsidP="004835CF">
      <w:pPr>
        <w:jc w:val="center"/>
        <w:rPr>
          <w:rFonts w:ascii="Verdana" w:hAnsi="Verdana"/>
          <w:b/>
          <w:sz w:val="22"/>
          <w:szCs w:val="22"/>
        </w:rPr>
      </w:pPr>
    </w:p>
    <w:p w:rsidR="003D0A5F" w:rsidRDefault="003D0A5F">
      <w:pPr>
        <w:pStyle w:val="TOC1"/>
        <w:rPr>
          <w:rFonts w:asciiTheme="minorHAnsi" w:eastAsiaTheme="minorEastAsia" w:hAnsiTheme="minorHAnsi" w:cstheme="minorBidi"/>
          <w:b w:val="0"/>
          <w:sz w:val="22"/>
          <w:szCs w:val="22"/>
          <w:lang w:val="en-GB" w:eastAsia="en-GB" w:bidi="ar-SA"/>
        </w:rPr>
      </w:pPr>
      <w:r>
        <w:fldChar w:fldCharType="begin"/>
      </w:r>
      <w:r>
        <w:instrText xml:space="preserve"> TOC \o "1-2" \h \z \u </w:instrText>
      </w:r>
      <w:r>
        <w:fldChar w:fldCharType="separate"/>
      </w:r>
      <w:hyperlink w:anchor="_Toc438220113" w:history="1">
        <w:r w:rsidRPr="00651736">
          <w:rPr>
            <w:rStyle w:val="Hyperlink"/>
            <w:rFonts w:cs="Tahoma"/>
          </w:rPr>
          <w:t>1.</w:t>
        </w:r>
        <w:r>
          <w:rPr>
            <w:rFonts w:asciiTheme="minorHAnsi" w:eastAsiaTheme="minorEastAsia" w:hAnsiTheme="minorHAnsi" w:cstheme="minorBidi"/>
            <w:b w:val="0"/>
            <w:sz w:val="22"/>
            <w:szCs w:val="22"/>
            <w:lang w:val="en-GB" w:eastAsia="en-GB" w:bidi="ar-SA"/>
          </w:rPr>
          <w:tab/>
        </w:r>
        <w:r w:rsidRPr="00651736">
          <w:rPr>
            <w:rStyle w:val="Hyperlink"/>
          </w:rPr>
          <w:t>Úvod</w:t>
        </w:r>
        <w:r>
          <w:rPr>
            <w:webHidden/>
          </w:rPr>
          <w:tab/>
        </w:r>
        <w:r>
          <w:rPr>
            <w:webHidden/>
          </w:rPr>
          <w:fldChar w:fldCharType="begin"/>
        </w:r>
        <w:r>
          <w:rPr>
            <w:webHidden/>
          </w:rPr>
          <w:instrText xml:space="preserve"> PAGEREF _Toc438220113 \h </w:instrText>
        </w:r>
        <w:r>
          <w:rPr>
            <w:webHidden/>
          </w:rPr>
        </w:r>
        <w:r>
          <w:rPr>
            <w:webHidden/>
          </w:rPr>
          <w:fldChar w:fldCharType="separate"/>
        </w:r>
        <w:r w:rsidR="00123583">
          <w:rPr>
            <w:webHidden/>
          </w:rPr>
          <w:t>4</w:t>
        </w:r>
        <w:r>
          <w:rPr>
            <w:webHidden/>
          </w:rPr>
          <w:fldChar w:fldCharType="end"/>
        </w:r>
      </w:hyperlink>
    </w:p>
    <w:p w:rsidR="003D0A5F" w:rsidRDefault="003D0A5F">
      <w:pPr>
        <w:pStyle w:val="TOC1"/>
        <w:rPr>
          <w:rFonts w:asciiTheme="minorHAnsi" w:eastAsiaTheme="minorEastAsia" w:hAnsiTheme="minorHAnsi" w:cstheme="minorBidi"/>
          <w:b w:val="0"/>
          <w:sz w:val="22"/>
          <w:szCs w:val="22"/>
          <w:lang w:val="en-GB" w:eastAsia="en-GB" w:bidi="ar-SA"/>
        </w:rPr>
      </w:pPr>
      <w:hyperlink w:anchor="_Toc438220114" w:history="1">
        <w:r w:rsidRPr="00651736">
          <w:rPr>
            <w:rStyle w:val="Hyperlink"/>
          </w:rPr>
          <w:t>2.</w:t>
        </w:r>
        <w:r>
          <w:rPr>
            <w:rFonts w:asciiTheme="minorHAnsi" w:eastAsiaTheme="minorEastAsia" w:hAnsiTheme="minorHAnsi" w:cstheme="minorBidi"/>
            <w:b w:val="0"/>
            <w:sz w:val="22"/>
            <w:szCs w:val="22"/>
            <w:lang w:val="en-GB" w:eastAsia="en-GB" w:bidi="ar-SA"/>
          </w:rPr>
          <w:tab/>
        </w:r>
        <w:r w:rsidRPr="00651736">
          <w:rPr>
            <w:rStyle w:val="Hyperlink"/>
          </w:rPr>
          <w:t>Zoznam kŕmnych surovín</w:t>
        </w:r>
        <w:r>
          <w:rPr>
            <w:webHidden/>
          </w:rPr>
          <w:tab/>
        </w:r>
        <w:r>
          <w:rPr>
            <w:webHidden/>
          </w:rPr>
          <w:fldChar w:fldCharType="begin"/>
        </w:r>
        <w:r>
          <w:rPr>
            <w:webHidden/>
          </w:rPr>
          <w:instrText xml:space="preserve"> PAGEREF _Toc438220114 \h </w:instrText>
        </w:r>
        <w:r>
          <w:rPr>
            <w:webHidden/>
          </w:rPr>
        </w:r>
        <w:r>
          <w:rPr>
            <w:webHidden/>
          </w:rPr>
          <w:fldChar w:fldCharType="separate"/>
        </w:r>
        <w:r w:rsidR="00123583">
          <w:rPr>
            <w:webHidden/>
          </w:rPr>
          <w:t>6</w:t>
        </w:r>
        <w:r>
          <w:rPr>
            <w:webHidden/>
          </w:rPr>
          <w:fldChar w:fldCharType="end"/>
        </w:r>
      </w:hyperlink>
    </w:p>
    <w:p w:rsidR="003D0A5F" w:rsidRDefault="003D0A5F">
      <w:pPr>
        <w:pStyle w:val="TOC1"/>
        <w:rPr>
          <w:rFonts w:asciiTheme="minorHAnsi" w:eastAsiaTheme="minorEastAsia" w:hAnsiTheme="minorHAnsi" w:cstheme="minorBidi"/>
          <w:b w:val="0"/>
          <w:sz w:val="22"/>
          <w:szCs w:val="22"/>
          <w:lang w:val="en-GB" w:eastAsia="en-GB" w:bidi="ar-SA"/>
        </w:rPr>
      </w:pPr>
      <w:hyperlink w:anchor="_Toc438220115" w:history="1">
        <w:r w:rsidRPr="00651736">
          <w:rPr>
            <w:rStyle w:val="Hyperlink"/>
            <w:rFonts w:cs="Tahoma"/>
          </w:rPr>
          <w:t>3.</w:t>
        </w:r>
        <w:r>
          <w:rPr>
            <w:rFonts w:asciiTheme="minorHAnsi" w:eastAsiaTheme="minorEastAsia" w:hAnsiTheme="minorHAnsi" w:cstheme="minorBidi"/>
            <w:b w:val="0"/>
            <w:sz w:val="22"/>
            <w:szCs w:val="22"/>
            <w:lang w:val="en-GB" w:eastAsia="en-GB" w:bidi="ar-SA"/>
          </w:rPr>
          <w:tab/>
        </w:r>
        <w:r w:rsidRPr="00651736">
          <w:rPr>
            <w:rStyle w:val="Hyperlink"/>
          </w:rPr>
          <w:t>Opis spracovania bionafty</w:t>
        </w:r>
        <w:r>
          <w:rPr>
            <w:webHidden/>
          </w:rPr>
          <w:tab/>
        </w:r>
        <w:r>
          <w:rPr>
            <w:webHidden/>
          </w:rPr>
          <w:fldChar w:fldCharType="begin"/>
        </w:r>
        <w:r>
          <w:rPr>
            <w:webHidden/>
          </w:rPr>
          <w:instrText xml:space="preserve"> PAGEREF _Toc438220115 \h </w:instrText>
        </w:r>
        <w:r>
          <w:rPr>
            <w:webHidden/>
          </w:rPr>
        </w:r>
        <w:r>
          <w:rPr>
            <w:webHidden/>
          </w:rPr>
          <w:fldChar w:fldCharType="separate"/>
        </w:r>
        <w:r w:rsidR="00123583">
          <w:rPr>
            <w:webHidden/>
          </w:rPr>
          <w:t>8</w:t>
        </w:r>
        <w:r>
          <w:rPr>
            <w:webHidden/>
          </w:rPr>
          <w:fldChar w:fldCharType="end"/>
        </w:r>
      </w:hyperlink>
    </w:p>
    <w:p w:rsidR="003D0A5F" w:rsidRDefault="003D0A5F">
      <w:pPr>
        <w:pStyle w:val="TOC2"/>
        <w:tabs>
          <w:tab w:val="left" w:pos="880"/>
          <w:tab w:val="right" w:leader="dot" w:pos="8828"/>
        </w:tabs>
        <w:rPr>
          <w:rFonts w:asciiTheme="minorHAnsi" w:eastAsiaTheme="minorEastAsia" w:hAnsiTheme="minorHAnsi" w:cstheme="minorBidi"/>
          <w:noProof/>
          <w:sz w:val="22"/>
          <w:szCs w:val="22"/>
          <w:lang w:val="en-GB" w:eastAsia="en-GB" w:bidi="ar-SA"/>
        </w:rPr>
      </w:pPr>
      <w:hyperlink w:anchor="_Toc438220116" w:history="1">
        <w:r w:rsidRPr="00651736">
          <w:rPr>
            <w:rStyle w:val="Hyperlink"/>
            <w:rFonts w:ascii="Verdana" w:hAnsi="Verdana"/>
            <w:noProof/>
          </w:rPr>
          <w:t>3.1.</w:t>
        </w:r>
        <w:r>
          <w:rPr>
            <w:rFonts w:asciiTheme="minorHAnsi" w:eastAsiaTheme="minorEastAsia" w:hAnsiTheme="minorHAnsi" w:cstheme="minorBidi"/>
            <w:noProof/>
            <w:sz w:val="22"/>
            <w:szCs w:val="22"/>
            <w:lang w:val="en-GB" w:eastAsia="en-GB" w:bidi="ar-SA"/>
          </w:rPr>
          <w:tab/>
        </w:r>
        <w:r w:rsidRPr="00651736">
          <w:rPr>
            <w:rStyle w:val="Hyperlink"/>
            <w:rFonts w:ascii="Verdana" w:hAnsi="Verdana"/>
            <w:noProof/>
          </w:rPr>
          <w:t>Príjem rastlinného oleja</w:t>
        </w:r>
        <w:r>
          <w:rPr>
            <w:noProof/>
            <w:webHidden/>
          </w:rPr>
          <w:tab/>
        </w:r>
        <w:r>
          <w:rPr>
            <w:noProof/>
            <w:webHidden/>
          </w:rPr>
          <w:fldChar w:fldCharType="begin"/>
        </w:r>
        <w:r>
          <w:rPr>
            <w:noProof/>
            <w:webHidden/>
          </w:rPr>
          <w:instrText xml:space="preserve"> PAGEREF _Toc438220116 \h </w:instrText>
        </w:r>
        <w:r>
          <w:rPr>
            <w:noProof/>
            <w:webHidden/>
          </w:rPr>
        </w:r>
        <w:r>
          <w:rPr>
            <w:noProof/>
            <w:webHidden/>
          </w:rPr>
          <w:fldChar w:fldCharType="separate"/>
        </w:r>
        <w:r w:rsidR="00123583">
          <w:rPr>
            <w:noProof/>
            <w:webHidden/>
          </w:rPr>
          <w:t>8</w:t>
        </w:r>
        <w:r>
          <w:rPr>
            <w:noProof/>
            <w:webHidden/>
          </w:rPr>
          <w:fldChar w:fldCharType="end"/>
        </w:r>
      </w:hyperlink>
    </w:p>
    <w:p w:rsidR="003D0A5F" w:rsidRDefault="003D0A5F">
      <w:pPr>
        <w:pStyle w:val="TOC2"/>
        <w:tabs>
          <w:tab w:val="left" w:pos="880"/>
          <w:tab w:val="right" w:leader="dot" w:pos="8828"/>
        </w:tabs>
        <w:rPr>
          <w:rFonts w:asciiTheme="minorHAnsi" w:eastAsiaTheme="minorEastAsia" w:hAnsiTheme="minorHAnsi" w:cstheme="minorBidi"/>
          <w:noProof/>
          <w:sz w:val="22"/>
          <w:szCs w:val="22"/>
          <w:lang w:val="en-GB" w:eastAsia="en-GB" w:bidi="ar-SA"/>
        </w:rPr>
      </w:pPr>
      <w:hyperlink w:anchor="_Toc438220117" w:history="1">
        <w:r w:rsidRPr="00651736">
          <w:rPr>
            <w:rStyle w:val="Hyperlink"/>
            <w:rFonts w:ascii="Verdana" w:hAnsi="Verdana"/>
            <w:noProof/>
          </w:rPr>
          <w:t>3.2.</w:t>
        </w:r>
        <w:r>
          <w:rPr>
            <w:rFonts w:asciiTheme="minorHAnsi" w:eastAsiaTheme="minorEastAsia" w:hAnsiTheme="minorHAnsi" w:cstheme="minorBidi"/>
            <w:noProof/>
            <w:sz w:val="22"/>
            <w:szCs w:val="22"/>
            <w:lang w:val="en-GB" w:eastAsia="en-GB" w:bidi="ar-SA"/>
          </w:rPr>
          <w:tab/>
        </w:r>
        <w:r w:rsidRPr="00651736">
          <w:rPr>
            <w:rStyle w:val="Hyperlink"/>
            <w:rFonts w:ascii="Verdana" w:hAnsi="Verdana"/>
            <w:noProof/>
          </w:rPr>
          <w:t>Chemická reakcia/transesterifikácia:</w:t>
        </w:r>
        <w:r>
          <w:rPr>
            <w:noProof/>
            <w:webHidden/>
          </w:rPr>
          <w:tab/>
        </w:r>
        <w:r>
          <w:rPr>
            <w:noProof/>
            <w:webHidden/>
          </w:rPr>
          <w:fldChar w:fldCharType="begin"/>
        </w:r>
        <w:r>
          <w:rPr>
            <w:noProof/>
            <w:webHidden/>
          </w:rPr>
          <w:instrText xml:space="preserve"> PAGEREF _Toc438220117 \h </w:instrText>
        </w:r>
        <w:r>
          <w:rPr>
            <w:noProof/>
            <w:webHidden/>
          </w:rPr>
        </w:r>
        <w:r>
          <w:rPr>
            <w:noProof/>
            <w:webHidden/>
          </w:rPr>
          <w:fldChar w:fldCharType="separate"/>
        </w:r>
        <w:r w:rsidR="00123583">
          <w:rPr>
            <w:noProof/>
            <w:webHidden/>
          </w:rPr>
          <w:t>8</w:t>
        </w:r>
        <w:r>
          <w:rPr>
            <w:noProof/>
            <w:webHidden/>
          </w:rPr>
          <w:fldChar w:fldCharType="end"/>
        </w:r>
      </w:hyperlink>
    </w:p>
    <w:p w:rsidR="003D0A5F" w:rsidRDefault="003D0A5F">
      <w:pPr>
        <w:pStyle w:val="TOC2"/>
        <w:tabs>
          <w:tab w:val="left" w:pos="880"/>
          <w:tab w:val="right" w:leader="dot" w:pos="8828"/>
        </w:tabs>
        <w:rPr>
          <w:rFonts w:asciiTheme="minorHAnsi" w:eastAsiaTheme="minorEastAsia" w:hAnsiTheme="minorHAnsi" w:cstheme="minorBidi"/>
          <w:noProof/>
          <w:sz w:val="22"/>
          <w:szCs w:val="22"/>
          <w:lang w:val="en-GB" w:eastAsia="en-GB" w:bidi="ar-SA"/>
        </w:rPr>
      </w:pPr>
      <w:hyperlink w:anchor="_Toc438220118" w:history="1">
        <w:r w:rsidRPr="00651736">
          <w:rPr>
            <w:rStyle w:val="Hyperlink"/>
            <w:rFonts w:ascii="Verdana" w:hAnsi="Verdana"/>
            <w:noProof/>
          </w:rPr>
          <w:t>3.3.</w:t>
        </w:r>
        <w:r>
          <w:rPr>
            <w:rFonts w:asciiTheme="minorHAnsi" w:eastAsiaTheme="minorEastAsia" w:hAnsiTheme="minorHAnsi" w:cstheme="minorBidi"/>
            <w:noProof/>
            <w:sz w:val="22"/>
            <w:szCs w:val="22"/>
            <w:lang w:val="en-GB" w:eastAsia="en-GB" w:bidi="ar-SA"/>
          </w:rPr>
          <w:tab/>
        </w:r>
        <w:r w:rsidRPr="00651736">
          <w:rPr>
            <w:rStyle w:val="Hyperlink"/>
            <w:rFonts w:ascii="Verdana" w:hAnsi="Verdana"/>
            <w:noProof/>
          </w:rPr>
          <w:t>Oddeľovanie</w:t>
        </w:r>
        <w:r>
          <w:rPr>
            <w:noProof/>
            <w:webHidden/>
          </w:rPr>
          <w:tab/>
        </w:r>
        <w:r>
          <w:rPr>
            <w:noProof/>
            <w:webHidden/>
          </w:rPr>
          <w:fldChar w:fldCharType="begin"/>
        </w:r>
        <w:r>
          <w:rPr>
            <w:noProof/>
            <w:webHidden/>
          </w:rPr>
          <w:instrText xml:space="preserve"> PAGEREF _Toc438220118 \h </w:instrText>
        </w:r>
        <w:r>
          <w:rPr>
            <w:noProof/>
            <w:webHidden/>
          </w:rPr>
        </w:r>
        <w:r>
          <w:rPr>
            <w:noProof/>
            <w:webHidden/>
          </w:rPr>
          <w:fldChar w:fldCharType="separate"/>
        </w:r>
        <w:r w:rsidR="00123583">
          <w:rPr>
            <w:noProof/>
            <w:webHidden/>
          </w:rPr>
          <w:t>9</w:t>
        </w:r>
        <w:r>
          <w:rPr>
            <w:noProof/>
            <w:webHidden/>
          </w:rPr>
          <w:fldChar w:fldCharType="end"/>
        </w:r>
      </w:hyperlink>
    </w:p>
    <w:p w:rsidR="003D0A5F" w:rsidRDefault="003D0A5F">
      <w:pPr>
        <w:pStyle w:val="TOC2"/>
        <w:tabs>
          <w:tab w:val="left" w:pos="880"/>
          <w:tab w:val="right" w:leader="dot" w:pos="8828"/>
        </w:tabs>
        <w:rPr>
          <w:rFonts w:asciiTheme="minorHAnsi" w:eastAsiaTheme="minorEastAsia" w:hAnsiTheme="minorHAnsi" w:cstheme="minorBidi"/>
          <w:noProof/>
          <w:sz w:val="22"/>
          <w:szCs w:val="22"/>
          <w:lang w:val="en-GB" w:eastAsia="en-GB" w:bidi="ar-SA"/>
        </w:rPr>
      </w:pPr>
      <w:hyperlink w:anchor="_Toc438220119" w:history="1">
        <w:r w:rsidRPr="00651736">
          <w:rPr>
            <w:rStyle w:val="Hyperlink"/>
            <w:rFonts w:ascii="Verdana" w:hAnsi="Verdana"/>
            <w:noProof/>
          </w:rPr>
          <w:t>3.4.</w:t>
        </w:r>
        <w:r>
          <w:rPr>
            <w:rFonts w:asciiTheme="minorHAnsi" w:eastAsiaTheme="minorEastAsia" w:hAnsiTheme="minorHAnsi" w:cstheme="minorBidi"/>
            <w:noProof/>
            <w:sz w:val="22"/>
            <w:szCs w:val="22"/>
            <w:lang w:val="en-GB" w:eastAsia="en-GB" w:bidi="ar-SA"/>
          </w:rPr>
          <w:tab/>
        </w:r>
        <w:r w:rsidRPr="00651736">
          <w:rPr>
            <w:rStyle w:val="Hyperlink"/>
            <w:rFonts w:ascii="Verdana" w:hAnsi="Verdana"/>
            <w:noProof/>
          </w:rPr>
          <w:t>Acidulácia a oddelenie voľných mastných kyselín</w:t>
        </w:r>
        <w:r>
          <w:rPr>
            <w:noProof/>
            <w:webHidden/>
          </w:rPr>
          <w:tab/>
        </w:r>
        <w:r>
          <w:rPr>
            <w:noProof/>
            <w:webHidden/>
          </w:rPr>
          <w:fldChar w:fldCharType="begin"/>
        </w:r>
        <w:r>
          <w:rPr>
            <w:noProof/>
            <w:webHidden/>
          </w:rPr>
          <w:instrText xml:space="preserve"> PAGEREF _Toc438220119 \h </w:instrText>
        </w:r>
        <w:r>
          <w:rPr>
            <w:noProof/>
            <w:webHidden/>
          </w:rPr>
        </w:r>
        <w:r>
          <w:rPr>
            <w:noProof/>
            <w:webHidden/>
          </w:rPr>
          <w:fldChar w:fldCharType="separate"/>
        </w:r>
        <w:r w:rsidR="00123583">
          <w:rPr>
            <w:noProof/>
            <w:webHidden/>
          </w:rPr>
          <w:t>9</w:t>
        </w:r>
        <w:r>
          <w:rPr>
            <w:noProof/>
            <w:webHidden/>
          </w:rPr>
          <w:fldChar w:fldCharType="end"/>
        </w:r>
      </w:hyperlink>
    </w:p>
    <w:p w:rsidR="003D0A5F" w:rsidRDefault="003D0A5F">
      <w:pPr>
        <w:pStyle w:val="TOC2"/>
        <w:tabs>
          <w:tab w:val="left" w:pos="880"/>
          <w:tab w:val="right" w:leader="dot" w:pos="8828"/>
        </w:tabs>
        <w:rPr>
          <w:rFonts w:asciiTheme="minorHAnsi" w:eastAsiaTheme="minorEastAsia" w:hAnsiTheme="minorHAnsi" w:cstheme="minorBidi"/>
          <w:noProof/>
          <w:sz w:val="22"/>
          <w:szCs w:val="22"/>
          <w:lang w:val="en-GB" w:eastAsia="en-GB" w:bidi="ar-SA"/>
        </w:rPr>
      </w:pPr>
      <w:hyperlink w:anchor="_Toc438220120" w:history="1">
        <w:r w:rsidRPr="00651736">
          <w:rPr>
            <w:rStyle w:val="Hyperlink"/>
            <w:rFonts w:ascii="Verdana" w:hAnsi="Verdana"/>
            <w:noProof/>
          </w:rPr>
          <w:t>3.5.</w:t>
        </w:r>
        <w:r>
          <w:rPr>
            <w:rFonts w:asciiTheme="minorHAnsi" w:eastAsiaTheme="minorEastAsia" w:hAnsiTheme="minorHAnsi" w:cstheme="minorBidi"/>
            <w:noProof/>
            <w:sz w:val="22"/>
            <w:szCs w:val="22"/>
            <w:lang w:val="en-GB" w:eastAsia="en-GB" w:bidi="ar-SA"/>
          </w:rPr>
          <w:tab/>
        </w:r>
        <w:r w:rsidRPr="00651736">
          <w:rPr>
            <w:rStyle w:val="Hyperlink"/>
            <w:rFonts w:ascii="Verdana" w:hAnsi="Verdana"/>
            <w:noProof/>
          </w:rPr>
          <w:t>Neutralizácia glycerínu</w:t>
        </w:r>
        <w:r>
          <w:rPr>
            <w:noProof/>
            <w:webHidden/>
          </w:rPr>
          <w:tab/>
        </w:r>
        <w:r>
          <w:rPr>
            <w:noProof/>
            <w:webHidden/>
          </w:rPr>
          <w:fldChar w:fldCharType="begin"/>
        </w:r>
        <w:r>
          <w:rPr>
            <w:noProof/>
            <w:webHidden/>
          </w:rPr>
          <w:instrText xml:space="preserve"> PAGEREF _Toc438220120 \h </w:instrText>
        </w:r>
        <w:r>
          <w:rPr>
            <w:noProof/>
            <w:webHidden/>
          </w:rPr>
        </w:r>
        <w:r>
          <w:rPr>
            <w:noProof/>
            <w:webHidden/>
          </w:rPr>
          <w:fldChar w:fldCharType="separate"/>
        </w:r>
        <w:r w:rsidR="00123583">
          <w:rPr>
            <w:noProof/>
            <w:webHidden/>
          </w:rPr>
          <w:t>9</w:t>
        </w:r>
        <w:r>
          <w:rPr>
            <w:noProof/>
            <w:webHidden/>
          </w:rPr>
          <w:fldChar w:fldCharType="end"/>
        </w:r>
      </w:hyperlink>
    </w:p>
    <w:p w:rsidR="003D0A5F" w:rsidRDefault="003D0A5F">
      <w:pPr>
        <w:pStyle w:val="TOC2"/>
        <w:tabs>
          <w:tab w:val="left" w:pos="880"/>
          <w:tab w:val="right" w:leader="dot" w:pos="8828"/>
        </w:tabs>
        <w:rPr>
          <w:rFonts w:asciiTheme="minorHAnsi" w:eastAsiaTheme="minorEastAsia" w:hAnsiTheme="minorHAnsi" w:cstheme="minorBidi"/>
          <w:noProof/>
          <w:sz w:val="22"/>
          <w:szCs w:val="22"/>
          <w:lang w:val="en-GB" w:eastAsia="en-GB" w:bidi="ar-SA"/>
        </w:rPr>
      </w:pPr>
      <w:hyperlink w:anchor="_Toc438220121" w:history="1">
        <w:r w:rsidRPr="00651736">
          <w:rPr>
            <w:rStyle w:val="Hyperlink"/>
            <w:rFonts w:ascii="Verdana" w:hAnsi="Verdana"/>
            <w:noProof/>
          </w:rPr>
          <w:t>3.6.</w:t>
        </w:r>
        <w:r>
          <w:rPr>
            <w:rFonts w:asciiTheme="minorHAnsi" w:eastAsiaTheme="minorEastAsia" w:hAnsiTheme="minorHAnsi" w:cstheme="minorBidi"/>
            <w:noProof/>
            <w:sz w:val="22"/>
            <w:szCs w:val="22"/>
            <w:lang w:val="en-GB" w:eastAsia="en-GB" w:bidi="ar-SA"/>
          </w:rPr>
          <w:tab/>
        </w:r>
        <w:r w:rsidRPr="00651736">
          <w:rPr>
            <w:rStyle w:val="Hyperlink"/>
            <w:rFonts w:ascii="Verdana" w:hAnsi="Verdana"/>
            <w:noProof/>
          </w:rPr>
          <w:t>Vymývanie metylesterov</w:t>
        </w:r>
        <w:r>
          <w:rPr>
            <w:noProof/>
            <w:webHidden/>
          </w:rPr>
          <w:tab/>
        </w:r>
        <w:r>
          <w:rPr>
            <w:noProof/>
            <w:webHidden/>
          </w:rPr>
          <w:fldChar w:fldCharType="begin"/>
        </w:r>
        <w:r>
          <w:rPr>
            <w:noProof/>
            <w:webHidden/>
          </w:rPr>
          <w:instrText xml:space="preserve"> PAGEREF _Toc438220121 \h </w:instrText>
        </w:r>
        <w:r>
          <w:rPr>
            <w:noProof/>
            <w:webHidden/>
          </w:rPr>
        </w:r>
        <w:r>
          <w:rPr>
            <w:noProof/>
            <w:webHidden/>
          </w:rPr>
          <w:fldChar w:fldCharType="separate"/>
        </w:r>
        <w:r w:rsidR="00123583">
          <w:rPr>
            <w:noProof/>
            <w:webHidden/>
          </w:rPr>
          <w:t>9</w:t>
        </w:r>
        <w:r>
          <w:rPr>
            <w:noProof/>
            <w:webHidden/>
          </w:rPr>
          <w:fldChar w:fldCharType="end"/>
        </w:r>
      </w:hyperlink>
    </w:p>
    <w:p w:rsidR="003D0A5F" w:rsidRDefault="003D0A5F">
      <w:pPr>
        <w:pStyle w:val="TOC2"/>
        <w:tabs>
          <w:tab w:val="left" w:pos="880"/>
          <w:tab w:val="right" w:leader="dot" w:pos="8828"/>
        </w:tabs>
        <w:rPr>
          <w:rFonts w:asciiTheme="minorHAnsi" w:eastAsiaTheme="minorEastAsia" w:hAnsiTheme="minorHAnsi" w:cstheme="minorBidi"/>
          <w:noProof/>
          <w:sz w:val="22"/>
          <w:szCs w:val="22"/>
          <w:lang w:val="en-GB" w:eastAsia="en-GB" w:bidi="ar-SA"/>
        </w:rPr>
      </w:pPr>
      <w:hyperlink w:anchor="_Toc438220122" w:history="1">
        <w:r w:rsidRPr="00651736">
          <w:rPr>
            <w:rStyle w:val="Hyperlink"/>
            <w:rFonts w:ascii="Verdana" w:hAnsi="Verdana"/>
            <w:noProof/>
          </w:rPr>
          <w:t>3.7.</w:t>
        </w:r>
        <w:r>
          <w:rPr>
            <w:rFonts w:asciiTheme="minorHAnsi" w:eastAsiaTheme="minorEastAsia" w:hAnsiTheme="minorHAnsi" w:cstheme="minorBidi"/>
            <w:noProof/>
            <w:sz w:val="22"/>
            <w:szCs w:val="22"/>
            <w:lang w:val="en-GB" w:eastAsia="en-GB" w:bidi="ar-SA"/>
          </w:rPr>
          <w:tab/>
        </w:r>
        <w:r w:rsidRPr="00651736">
          <w:rPr>
            <w:rStyle w:val="Hyperlink"/>
            <w:rFonts w:ascii="Verdana" w:hAnsi="Verdana"/>
            <w:noProof/>
          </w:rPr>
          <w:t>Skladovanie</w:t>
        </w:r>
        <w:r>
          <w:rPr>
            <w:noProof/>
            <w:webHidden/>
          </w:rPr>
          <w:tab/>
        </w:r>
        <w:r>
          <w:rPr>
            <w:noProof/>
            <w:webHidden/>
          </w:rPr>
          <w:fldChar w:fldCharType="begin"/>
        </w:r>
        <w:r>
          <w:rPr>
            <w:noProof/>
            <w:webHidden/>
          </w:rPr>
          <w:instrText xml:space="preserve"> PAGEREF _Toc438220122 \h </w:instrText>
        </w:r>
        <w:r>
          <w:rPr>
            <w:noProof/>
            <w:webHidden/>
          </w:rPr>
        </w:r>
        <w:r>
          <w:rPr>
            <w:noProof/>
            <w:webHidden/>
          </w:rPr>
          <w:fldChar w:fldCharType="separate"/>
        </w:r>
        <w:r w:rsidR="00123583">
          <w:rPr>
            <w:noProof/>
            <w:webHidden/>
          </w:rPr>
          <w:t>9</w:t>
        </w:r>
        <w:r>
          <w:rPr>
            <w:noProof/>
            <w:webHidden/>
          </w:rPr>
          <w:fldChar w:fldCharType="end"/>
        </w:r>
      </w:hyperlink>
    </w:p>
    <w:p w:rsidR="003D0A5F" w:rsidRDefault="003D0A5F">
      <w:pPr>
        <w:pStyle w:val="TOC2"/>
        <w:tabs>
          <w:tab w:val="left" w:pos="880"/>
          <w:tab w:val="right" w:leader="dot" w:pos="8828"/>
        </w:tabs>
        <w:rPr>
          <w:rFonts w:asciiTheme="minorHAnsi" w:eastAsiaTheme="minorEastAsia" w:hAnsiTheme="minorHAnsi" w:cstheme="minorBidi"/>
          <w:noProof/>
          <w:sz w:val="22"/>
          <w:szCs w:val="22"/>
          <w:lang w:val="en-GB" w:eastAsia="en-GB" w:bidi="ar-SA"/>
        </w:rPr>
      </w:pPr>
      <w:hyperlink w:anchor="_Toc438220123" w:history="1">
        <w:r w:rsidRPr="00651736">
          <w:rPr>
            <w:rStyle w:val="Hyperlink"/>
            <w:rFonts w:ascii="Verdana" w:hAnsi="Verdana"/>
            <w:noProof/>
          </w:rPr>
          <w:t>3.8.</w:t>
        </w:r>
        <w:r>
          <w:rPr>
            <w:rFonts w:asciiTheme="minorHAnsi" w:eastAsiaTheme="minorEastAsia" w:hAnsiTheme="minorHAnsi" w:cstheme="minorBidi"/>
            <w:noProof/>
            <w:sz w:val="22"/>
            <w:szCs w:val="22"/>
            <w:lang w:val="en-GB" w:eastAsia="en-GB" w:bidi="ar-SA"/>
          </w:rPr>
          <w:tab/>
        </w:r>
        <w:r w:rsidRPr="00651736">
          <w:rPr>
            <w:rStyle w:val="Hyperlink"/>
            <w:rFonts w:ascii="Verdana" w:hAnsi="Verdana"/>
            <w:noProof/>
          </w:rPr>
          <w:t>Preprava</w:t>
        </w:r>
        <w:r>
          <w:rPr>
            <w:noProof/>
            <w:webHidden/>
          </w:rPr>
          <w:tab/>
        </w:r>
        <w:r>
          <w:rPr>
            <w:noProof/>
            <w:webHidden/>
          </w:rPr>
          <w:fldChar w:fldCharType="begin"/>
        </w:r>
        <w:r>
          <w:rPr>
            <w:noProof/>
            <w:webHidden/>
          </w:rPr>
          <w:instrText xml:space="preserve"> PAGEREF _Toc438220123 \h </w:instrText>
        </w:r>
        <w:r>
          <w:rPr>
            <w:noProof/>
            <w:webHidden/>
          </w:rPr>
        </w:r>
        <w:r>
          <w:rPr>
            <w:noProof/>
            <w:webHidden/>
          </w:rPr>
          <w:fldChar w:fldCharType="separate"/>
        </w:r>
        <w:r w:rsidR="00123583">
          <w:rPr>
            <w:noProof/>
            <w:webHidden/>
          </w:rPr>
          <w:t>9</w:t>
        </w:r>
        <w:r>
          <w:rPr>
            <w:noProof/>
            <w:webHidden/>
          </w:rPr>
          <w:fldChar w:fldCharType="end"/>
        </w:r>
      </w:hyperlink>
    </w:p>
    <w:p w:rsidR="003D0A5F" w:rsidRDefault="003D0A5F">
      <w:pPr>
        <w:pStyle w:val="TOC1"/>
        <w:rPr>
          <w:rFonts w:asciiTheme="minorHAnsi" w:eastAsiaTheme="minorEastAsia" w:hAnsiTheme="minorHAnsi" w:cstheme="minorBidi"/>
          <w:b w:val="0"/>
          <w:sz w:val="22"/>
          <w:szCs w:val="22"/>
          <w:lang w:val="en-GB" w:eastAsia="en-GB" w:bidi="ar-SA"/>
        </w:rPr>
      </w:pPr>
      <w:hyperlink w:anchor="_Toc438220124" w:history="1">
        <w:r w:rsidRPr="00651736">
          <w:rPr>
            <w:rStyle w:val="Hyperlink"/>
          </w:rPr>
          <w:t>6.</w:t>
        </w:r>
        <w:r>
          <w:rPr>
            <w:rFonts w:asciiTheme="minorHAnsi" w:eastAsiaTheme="minorEastAsia" w:hAnsiTheme="minorHAnsi" w:cstheme="minorBidi"/>
            <w:b w:val="0"/>
            <w:sz w:val="22"/>
            <w:szCs w:val="22"/>
            <w:lang w:val="en-GB" w:eastAsia="en-GB" w:bidi="ar-SA"/>
          </w:rPr>
          <w:tab/>
        </w:r>
        <w:r w:rsidRPr="00651736">
          <w:rPr>
            <w:rStyle w:val="Hyperlink"/>
          </w:rPr>
          <w:t>Vývojový diagram výrobného procesu bionafty</w:t>
        </w:r>
        <w:r>
          <w:rPr>
            <w:webHidden/>
          </w:rPr>
          <w:tab/>
        </w:r>
        <w:r>
          <w:rPr>
            <w:webHidden/>
          </w:rPr>
          <w:fldChar w:fldCharType="begin"/>
        </w:r>
        <w:r>
          <w:rPr>
            <w:webHidden/>
          </w:rPr>
          <w:instrText xml:space="preserve"> PAGEREF _Toc438220124 \h </w:instrText>
        </w:r>
        <w:r>
          <w:rPr>
            <w:webHidden/>
          </w:rPr>
        </w:r>
        <w:r>
          <w:rPr>
            <w:webHidden/>
          </w:rPr>
          <w:fldChar w:fldCharType="separate"/>
        </w:r>
        <w:r w:rsidR="00123583">
          <w:rPr>
            <w:webHidden/>
          </w:rPr>
          <w:t>10</w:t>
        </w:r>
        <w:r>
          <w:rPr>
            <w:webHidden/>
          </w:rPr>
          <w:fldChar w:fldCharType="end"/>
        </w:r>
      </w:hyperlink>
    </w:p>
    <w:p w:rsidR="003D0A5F" w:rsidRDefault="003D0A5F">
      <w:pPr>
        <w:pStyle w:val="TOC1"/>
        <w:rPr>
          <w:rFonts w:asciiTheme="minorHAnsi" w:eastAsiaTheme="minorEastAsia" w:hAnsiTheme="minorHAnsi" w:cstheme="minorBidi"/>
          <w:b w:val="0"/>
          <w:sz w:val="22"/>
          <w:szCs w:val="22"/>
          <w:lang w:val="en-GB" w:eastAsia="en-GB" w:bidi="ar-SA"/>
        </w:rPr>
      </w:pPr>
      <w:hyperlink w:anchor="_Toc438220125" w:history="1">
        <w:r w:rsidRPr="00651736">
          <w:rPr>
            <w:rStyle w:val="Hyperlink"/>
            <w:rFonts w:cs="Tahoma"/>
          </w:rPr>
          <w:t>7.</w:t>
        </w:r>
        <w:r>
          <w:rPr>
            <w:rFonts w:asciiTheme="minorHAnsi" w:eastAsiaTheme="minorEastAsia" w:hAnsiTheme="minorHAnsi" w:cstheme="minorBidi"/>
            <w:b w:val="0"/>
            <w:sz w:val="22"/>
            <w:szCs w:val="22"/>
            <w:lang w:val="en-GB" w:eastAsia="en-GB" w:bidi="ar-SA"/>
          </w:rPr>
          <w:tab/>
        </w:r>
        <w:r w:rsidRPr="00651736">
          <w:rPr>
            <w:rStyle w:val="Hyperlink"/>
          </w:rPr>
          <w:t>Posúdenie rizík</w:t>
        </w:r>
        <w:r>
          <w:rPr>
            <w:webHidden/>
          </w:rPr>
          <w:tab/>
        </w:r>
        <w:r>
          <w:rPr>
            <w:webHidden/>
          </w:rPr>
          <w:fldChar w:fldCharType="begin"/>
        </w:r>
        <w:r>
          <w:rPr>
            <w:webHidden/>
          </w:rPr>
          <w:instrText xml:space="preserve"> PAGEREF _Toc438220125 \h </w:instrText>
        </w:r>
        <w:r>
          <w:rPr>
            <w:webHidden/>
          </w:rPr>
        </w:r>
        <w:r>
          <w:rPr>
            <w:webHidden/>
          </w:rPr>
          <w:fldChar w:fldCharType="separate"/>
        </w:r>
        <w:r w:rsidR="00123583">
          <w:rPr>
            <w:webHidden/>
          </w:rPr>
          <w:t>11</w:t>
        </w:r>
        <w:r>
          <w:rPr>
            <w:webHidden/>
          </w:rPr>
          <w:fldChar w:fldCharType="end"/>
        </w:r>
      </w:hyperlink>
    </w:p>
    <w:p w:rsidR="003D0A5F" w:rsidRDefault="003D0A5F">
      <w:pPr>
        <w:pStyle w:val="TOC2"/>
        <w:tabs>
          <w:tab w:val="left" w:pos="880"/>
          <w:tab w:val="right" w:leader="dot" w:pos="8828"/>
        </w:tabs>
        <w:rPr>
          <w:rFonts w:asciiTheme="minorHAnsi" w:eastAsiaTheme="minorEastAsia" w:hAnsiTheme="minorHAnsi" w:cstheme="minorBidi"/>
          <w:noProof/>
          <w:sz w:val="22"/>
          <w:szCs w:val="22"/>
          <w:lang w:val="en-GB" w:eastAsia="en-GB" w:bidi="ar-SA"/>
        </w:rPr>
      </w:pPr>
      <w:hyperlink w:anchor="_Toc438220126" w:history="1">
        <w:r w:rsidRPr="00651736">
          <w:rPr>
            <w:rStyle w:val="Hyperlink"/>
            <w:rFonts w:ascii="Verdana" w:hAnsi="Verdana"/>
            <w:noProof/>
          </w:rPr>
          <w:t>7.1.</w:t>
        </w:r>
        <w:r>
          <w:rPr>
            <w:rFonts w:asciiTheme="minorHAnsi" w:eastAsiaTheme="minorEastAsia" w:hAnsiTheme="minorHAnsi" w:cstheme="minorBidi"/>
            <w:noProof/>
            <w:sz w:val="22"/>
            <w:szCs w:val="22"/>
            <w:lang w:val="en-GB" w:eastAsia="en-GB" w:bidi="ar-SA"/>
          </w:rPr>
          <w:tab/>
        </w:r>
        <w:r w:rsidRPr="00651736">
          <w:rPr>
            <w:rStyle w:val="Hyperlink"/>
            <w:rFonts w:ascii="Verdana" w:hAnsi="Verdana"/>
            <w:noProof/>
          </w:rPr>
          <w:t>EBB podrobila posúdeniu rizík, ktoré ohrozujú bezpečnosť krmivového reťazca, tieto vstupné materiály</w:t>
        </w:r>
        <w:r>
          <w:rPr>
            <w:noProof/>
            <w:webHidden/>
          </w:rPr>
          <w:tab/>
        </w:r>
        <w:r>
          <w:rPr>
            <w:noProof/>
            <w:webHidden/>
          </w:rPr>
          <w:fldChar w:fldCharType="begin"/>
        </w:r>
        <w:r>
          <w:rPr>
            <w:noProof/>
            <w:webHidden/>
          </w:rPr>
          <w:instrText xml:space="preserve"> PAGEREF _Toc438220126 \h </w:instrText>
        </w:r>
        <w:r>
          <w:rPr>
            <w:noProof/>
            <w:webHidden/>
          </w:rPr>
        </w:r>
        <w:r>
          <w:rPr>
            <w:noProof/>
            <w:webHidden/>
          </w:rPr>
          <w:fldChar w:fldCharType="separate"/>
        </w:r>
        <w:r w:rsidR="00123583">
          <w:rPr>
            <w:noProof/>
            <w:webHidden/>
          </w:rPr>
          <w:t>11</w:t>
        </w:r>
        <w:r>
          <w:rPr>
            <w:noProof/>
            <w:webHidden/>
          </w:rPr>
          <w:fldChar w:fldCharType="end"/>
        </w:r>
      </w:hyperlink>
    </w:p>
    <w:p w:rsidR="003D0A5F" w:rsidRDefault="003D0A5F">
      <w:pPr>
        <w:pStyle w:val="TOC2"/>
        <w:tabs>
          <w:tab w:val="left" w:pos="880"/>
          <w:tab w:val="right" w:leader="dot" w:pos="8828"/>
        </w:tabs>
        <w:rPr>
          <w:rFonts w:asciiTheme="minorHAnsi" w:eastAsiaTheme="minorEastAsia" w:hAnsiTheme="minorHAnsi" w:cstheme="minorBidi"/>
          <w:noProof/>
          <w:sz w:val="22"/>
          <w:szCs w:val="22"/>
          <w:lang w:val="en-GB" w:eastAsia="en-GB" w:bidi="ar-SA"/>
        </w:rPr>
      </w:pPr>
      <w:hyperlink w:anchor="_Toc438220127" w:history="1">
        <w:r w:rsidRPr="00651736">
          <w:rPr>
            <w:rStyle w:val="Hyperlink"/>
            <w:noProof/>
          </w:rPr>
          <w:t>7.2.</w:t>
        </w:r>
        <w:r>
          <w:rPr>
            <w:rFonts w:asciiTheme="minorHAnsi" w:eastAsiaTheme="minorEastAsia" w:hAnsiTheme="minorHAnsi" w:cstheme="minorBidi"/>
            <w:noProof/>
            <w:sz w:val="22"/>
            <w:szCs w:val="22"/>
            <w:lang w:val="en-GB" w:eastAsia="en-GB" w:bidi="ar-SA"/>
          </w:rPr>
          <w:tab/>
        </w:r>
        <w:r w:rsidRPr="00651736">
          <w:rPr>
            <w:rStyle w:val="Hyperlink"/>
            <w:noProof/>
          </w:rPr>
          <w:t>Zhrnutie prístupu založeného na rizikách pre odvetvie bionafty</w:t>
        </w:r>
        <w:r>
          <w:rPr>
            <w:noProof/>
            <w:webHidden/>
          </w:rPr>
          <w:tab/>
        </w:r>
        <w:r>
          <w:rPr>
            <w:noProof/>
            <w:webHidden/>
          </w:rPr>
          <w:fldChar w:fldCharType="begin"/>
        </w:r>
        <w:r>
          <w:rPr>
            <w:noProof/>
            <w:webHidden/>
          </w:rPr>
          <w:instrText xml:space="preserve"> PAGEREF _Toc438220127 \h </w:instrText>
        </w:r>
        <w:r>
          <w:rPr>
            <w:noProof/>
            <w:webHidden/>
          </w:rPr>
        </w:r>
        <w:r>
          <w:rPr>
            <w:noProof/>
            <w:webHidden/>
          </w:rPr>
          <w:fldChar w:fldCharType="separate"/>
        </w:r>
        <w:r w:rsidR="00123583">
          <w:rPr>
            <w:noProof/>
            <w:webHidden/>
          </w:rPr>
          <w:t>11</w:t>
        </w:r>
        <w:r>
          <w:rPr>
            <w:noProof/>
            <w:webHidden/>
          </w:rPr>
          <w:fldChar w:fldCharType="end"/>
        </w:r>
      </w:hyperlink>
    </w:p>
    <w:p w:rsidR="003D0A5F" w:rsidRDefault="003D0A5F">
      <w:pPr>
        <w:pStyle w:val="TOC2"/>
        <w:tabs>
          <w:tab w:val="left" w:pos="880"/>
          <w:tab w:val="right" w:leader="dot" w:pos="8828"/>
        </w:tabs>
        <w:rPr>
          <w:rFonts w:asciiTheme="minorHAnsi" w:eastAsiaTheme="minorEastAsia" w:hAnsiTheme="minorHAnsi" w:cstheme="minorBidi"/>
          <w:noProof/>
          <w:sz w:val="22"/>
          <w:szCs w:val="22"/>
          <w:lang w:val="en-GB" w:eastAsia="en-GB" w:bidi="ar-SA"/>
        </w:rPr>
      </w:pPr>
      <w:hyperlink w:anchor="_Toc438220128" w:history="1">
        <w:r w:rsidRPr="00651736">
          <w:rPr>
            <w:rStyle w:val="Hyperlink"/>
            <w:noProof/>
          </w:rPr>
          <w:t>7.3.</w:t>
        </w:r>
        <w:r>
          <w:rPr>
            <w:rFonts w:asciiTheme="minorHAnsi" w:eastAsiaTheme="minorEastAsia" w:hAnsiTheme="minorHAnsi" w:cstheme="minorBidi"/>
            <w:noProof/>
            <w:sz w:val="22"/>
            <w:szCs w:val="22"/>
            <w:lang w:val="en-GB" w:eastAsia="en-GB" w:bidi="ar-SA"/>
          </w:rPr>
          <w:tab/>
        </w:r>
        <w:r w:rsidRPr="00651736">
          <w:rPr>
            <w:rStyle w:val="Hyperlink"/>
            <w:noProof/>
          </w:rPr>
          <w:t>Prístup založený na rizikách pre určenie charakteru nebezpečenstiev vzťahujúcich sa na kŕmne suroviny pochádzajúce z výroby bionafty</w:t>
        </w:r>
        <w:r>
          <w:rPr>
            <w:noProof/>
            <w:webHidden/>
          </w:rPr>
          <w:tab/>
        </w:r>
        <w:r>
          <w:rPr>
            <w:noProof/>
            <w:webHidden/>
          </w:rPr>
          <w:fldChar w:fldCharType="begin"/>
        </w:r>
        <w:r>
          <w:rPr>
            <w:noProof/>
            <w:webHidden/>
          </w:rPr>
          <w:instrText xml:space="preserve"> PAGEREF _Toc438220128 \h </w:instrText>
        </w:r>
        <w:r>
          <w:rPr>
            <w:noProof/>
            <w:webHidden/>
          </w:rPr>
        </w:r>
        <w:r>
          <w:rPr>
            <w:noProof/>
            <w:webHidden/>
          </w:rPr>
          <w:fldChar w:fldCharType="separate"/>
        </w:r>
        <w:r w:rsidR="00123583">
          <w:rPr>
            <w:noProof/>
            <w:webHidden/>
          </w:rPr>
          <w:t>12</w:t>
        </w:r>
        <w:r>
          <w:rPr>
            <w:noProof/>
            <w:webHidden/>
          </w:rPr>
          <w:fldChar w:fldCharType="end"/>
        </w:r>
      </w:hyperlink>
    </w:p>
    <w:p w:rsidR="003D0A5F" w:rsidRDefault="003D0A5F">
      <w:pPr>
        <w:pStyle w:val="TOC2"/>
        <w:tabs>
          <w:tab w:val="left" w:pos="880"/>
          <w:tab w:val="right" w:leader="dot" w:pos="8828"/>
        </w:tabs>
        <w:rPr>
          <w:rFonts w:asciiTheme="minorHAnsi" w:eastAsiaTheme="minorEastAsia" w:hAnsiTheme="minorHAnsi" w:cstheme="minorBidi"/>
          <w:noProof/>
          <w:sz w:val="22"/>
          <w:szCs w:val="22"/>
          <w:lang w:val="en-GB" w:eastAsia="en-GB" w:bidi="ar-SA"/>
        </w:rPr>
      </w:pPr>
      <w:hyperlink w:anchor="_Toc438220129" w:history="1">
        <w:r w:rsidRPr="00651736">
          <w:rPr>
            <w:rStyle w:val="Hyperlink"/>
            <w:rFonts w:ascii="Verdana" w:hAnsi="Verdana"/>
            <w:noProof/>
          </w:rPr>
          <w:t>7.4.</w:t>
        </w:r>
        <w:r>
          <w:rPr>
            <w:rFonts w:asciiTheme="minorHAnsi" w:eastAsiaTheme="minorEastAsia" w:hAnsiTheme="minorHAnsi" w:cstheme="minorBidi"/>
            <w:noProof/>
            <w:sz w:val="22"/>
            <w:szCs w:val="22"/>
            <w:lang w:val="en-GB" w:eastAsia="en-GB" w:bidi="ar-SA"/>
          </w:rPr>
          <w:tab/>
        </w:r>
        <w:r w:rsidRPr="00651736">
          <w:rPr>
            <w:rStyle w:val="Hyperlink"/>
            <w:rFonts w:ascii="Verdana" w:hAnsi="Verdana"/>
            <w:noProof/>
          </w:rPr>
          <w:t>Postup pri posudzovaní rizík</w:t>
        </w:r>
        <w:r>
          <w:rPr>
            <w:noProof/>
            <w:webHidden/>
          </w:rPr>
          <w:tab/>
        </w:r>
        <w:r>
          <w:rPr>
            <w:noProof/>
            <w:webHidden/>
          </w:rPr>
          <w:fldChar w:fldCharType="begin"/>
        </w:r>
        <w:r>
          <w:rPr>
            <w:noProof/>
            <w:webHidden/>
          </w:rPr>
          <w:instrText xml:space="preserve"> PAGEREF _Toc438220129 \h </w:instrText>
        </w:r>
        <w:r>
          <w:rPr>
            <w:noProof/>
            <w:webHidden/>
          </w:rPr>
        </w:r>
        <w:r>
          <w:rPr>
            <w:noProof/>
            <w:webHidden/>
          </w:rPr>
          <w:fldChar w:fldCharType="separate"/>
        </w:r>
        <w:r w:rsidR="00123583">
          <w:rPr>
            <w:noProof/>
            <w:webHidden/>
          </w:rPr>
          <w:t>13</w:t>
        </w:r>
        <w:r>
          <w:rPr>
            <w:noProof/>
            <w:webHidden/>
          </w:rPr>
          <w:fldChar w:fldCharType="end"/>
        </w:r>
      </w:hyperlink>
    </w:p>
    <w:p w:rsidR="003D0A5F" w:rsidRDefault="003D0A5F">
      <w:pPr>
        <w:pStyle w:val="TOC1"/>
        <w:rPr>
          <w:rFonts w:asciiTheme="minorHAnsi" w:eastAsiaTheme="minorEastAsia" w:hAnsiTheme="minorHAnsi" w:cstheme="minorBidi"/>
          <w:b w:val="0"/>
          <w:sz w:val="22"/>
          <w:szCs w:val="22"/>
          <w:lang w:val="en-GB" w:eastAsia="en-GB" w:bidi="ar-SA"/>
        </w:rPr>
      </w:pPr>
      <w:hyperlink w:anchor="_Toc438220130" w:history="1">
        <w:r w:rsidRPr="00651736">
          <w:rPr>
            <w:rStyle w:val="Hyperlink"/>
          </w:rPr>
          <w:t>8. Prístup založený na rizikách, pokiaľ ide o glycerín</w:t>
        </w:r>
        <w:r>
          <w:rPr>
            <w:webHidden/>
          </w:rPr>
          <w:tab/>
        </w:r>
        <w:r>
          <w:rPr>
            <w:webHidden/>
          </w:rPr>
          <w:fldChar w:fldCharType="begin"/>
        </w:r>
        <w:r>
          <w:rPr>
            <w:webHidden/>
          </w:rPr>
          <w:instrText xml:space="preserve"> PAGEREF _Toc438220130 \h </w:instrText>
        </w:r>
        <w:r>
          <w:rPr>
            <w:webHidden/>
          </w:rPr>
        </w:r>
        <w:r>
          <w:rPr>
            <w:webHidden/>
          </w:rPr>
          <w:fldChar w:fldCharType="separate"/>
        </w:r>
        <w:r w:rsidR="00123583">
          <w:rPr>
            <w:webHidden/>
          </w:rPr>
          <w:t>14</w:t>
        </w:r>
        <w:r>
          <w:rPr>
            <w:webHidden/>
          </w:rPr>
          <w:fldChar w:fldCharType="end"/>
        </w:r>
      </w:hyperlink>
    </w:p>
    <w:p w:rsidR="003D0A5F" w:rsidRDefault="003D0A5F">
      <w:pPr>
        <w:pStyle w:val="TOC1"/>
        <w:rPr>
          <w:rFonts w:asciiTheme="minorHAnsi" w:eastAsiaTheme="minorEastAsia" w:hAnsiTheme="minorHAnsi" w:cstheme="minorBidi"/>
          <w:b w:val="0"/>
          <w:sz w:val="22"/>
          <w:szCs w:val="22"/>
          <w:lang w:val="en-GB" w:eastAsia="en-GB" w:bidi="ar-SA"/>
        </w:rPr>
      </w:pPr>
      <w:hyperlink w:anchor="_Toc438220131" w:history="1">
        <w:r w:rsidRPr="00651736">
          <w:rPr>
            <w:rStyle w:val="Hyperlink"/>
          </w:rPr>
          <w:t>9. Minimálne monitorovanie</w:t>
        </w:r>
        <w:r>
          <w:rPr>
            <w:webHidden/>
          </w:rPr>
          <w:tab/>
        </w:r>
        <w:r>
          <w:rPr>
            <w:webHidden/>
          </w:rPr>
          <w:fldChar w:fldCharType="begin"/>
        </w:r>
        <w:r>
          <w:rPr>
            <w:webHidden/>
          </w:rPr>
          <w:instrText xml:space="preserve"> PAGEREF _Toc438220131 \h </w:instrText>
        </w:r>
        <w:r>
          <w:rPr>
            <w:webHidden/>
          </w:rPr>
        </w:r>
        <w:r>
          <w:rPr>
            <w:webHidden/>
          </w:rPr>
          <w:fldChar w:fldCharType="separate"/>
        </w:r>
        <w:r w:rsidR="00123583">
          <w:rPr>
            <w:webHidden/>
          </w:rPr>
          <w:t>26</w:t>
        </w:r>
        <w:r>
          <w:rPr>
            <w:webHidden/>
          </w:rPr>
          <w:fldChar w:fldCharType="end"/>
        </w:r>
      </w:hyperlink>
    </w:p>
    <w:p w:rsidR="00024B56" w:rsidRDefault="003D0A5F">
      <w:pPr>
        <w:rPr>
          <w:rFonts w:ascii="Verdana" w:hAnsi="Verdana"/>
        </w:rPr>
      </w:pPr>
      <w:r>
        <w:rPr>
          <w:rFonts w:ascii="Verdana" w:hAnsi="Verdana"/>
        </w:rPr>
        <w:fldChar w:fldCharType="end"/>
      </w:r>
    </w:p>
    <w:p w:rsidR="00CC33EE" w:rsidRPr="00E016F1" w:rsidRDefault="00BD667B" w:rsidP="005A0AC9">
      <w:pPr>
        <w:rPr>
          <w:rFonts w:ascii="Verdana" w:hAnsi="Verdana"/>
        </w:rPr>
      </w:pPr>
      <w:r>
        <w:br w:type="page"/>
      </w:r>
    </w:p>
    <w:p w:rsidR="0033448F" w:rsidRPr="00300F3C" w:rsidRDefault="00FA37B8" w:rsidP="00DD7B4B">
      <w:pPr>
        <w:pStyle w:val="Heading1"/>
        <w:tabs>
          <w:tab w:val="clear" w:pos="432"/>
          <w:tab w:val="num" w:pos="420"/>
        </w:tabs>
        <w:rPr>
          <w:rFonts w:ascii="Verdana" w:hAnsi="Verdana"/>
        </w:rPr>
      </w:pPr>
      <w:bookmarkStart w:id="1" w:name="_Toc438220114"/>
      <w:r>
        <w:rPr>
          <w:rFonts w:ascii="Verdana" w:hAnsi="Verdana"/>
        </w:rPr>
        <w:lastRenderedPageBreak/>
        <w:t>Zoznam kŕmnych surovín</w:t>
      </w:r>
      <w:bookmarkEnd w:id="1"/>
    </w:p>
    <w:p w:rsidR="00FA37B8" w:rsidRPr="00300F3C" w:rsidRDefault="00FA37B8" w:rsidP="00FA37B8">
      <w:pPr>
        <w:rPr>
          <w:rFonts w:ascii="Verdana" w:hAnsi="Verdana"/>
        </w:rPr>
      </w:pPr>
    </w:p>
    <w:p w:rsidR="00FA37B8" w:rsidRPr="00300F3C" w:rsidRDefault="00FA37B8" w:rsidP="00550C20">
      <w:pPr>
        <w:jc w:val="both"/>
        <w:rPr>
          <w:rFonts w:ascii="Verdana" w:hAnsi="Verdana" w:cs="Tahoma"/>
          <w:szCs w:val="20"/>
        </w:rPr>
      </w:pPr>
      <w:r>
        <w:rPr>
          <w:rFonts w:ascii="Verdana" w:hAnsi="Verdana"/>
        </w:rPr>
        <w:t>Hlavnými surovinami, ktoré spracúva európske odvetvie bionafty, sú repkový olej, sójový olej, slnečnicový olej a palmový olej v kombinácii s metanolom.</w:t>
      </w:r>
    </w:p>
    <w:p w:rsidR="00F9433E" w:rsidRPr="00300F3C" w:rsidRDefault="00F9433E" w:rsidP="00550C20">
      <w:pPr>
        <w:jc w:val="both"/>
        <w:rPr>
          <w:rFonts w:ascii="Verdana" w:hAnsi="Verdana" w:cs="Tahoma"/>
          <w:szCs w:val="20"/>
        </w:rPr>
      </w:pPr>
    </w:p>
    <w:p w:rsidR="00F9433E" w:rsidRPr="00300F3C" w:rsidRDefault="00F9433E" w:rsidP="00550C20">
      <w:pPr>
        <w:pStyle w:val="Default"/>
        <w:jc w:val="both"/>
        <w:rPr>
          <w:rFonts w:ascii="Verdana" w:hAnsi="Verdana" w:cs="Tahoma"/>
          <w:sz w:val="20"/>
          <w:szCs w:val="20"/>
        </w:rPr>
      </w:pPr>
      <w:r>
        <w:rPr>
          <w:rFonts w:ascii="Verdana" w:hAnsi="Verdana"/>
          <w:sz w:val="20"/>
        </w:rPr>
        <w:t>V Katalógu kŕmnych surovín (ďalej len „katalóg“) platnom pre Európsku úniu sa stanovuje spoločný systém opisu a označovania kŕmnych surovín v EÚ. V prípade každej uvedenej kŕmnej suroviny sa v katalógu uvádza názov produktu, identifikačné číslo, opis kŕmnej suroviny, v prípade potreby vrátane informácií o výrobnom procese, a údaje nahrádzajúce povinnú deklaráciu na účely článku 16 ods. 1 písm. b) nariadenia (ES) č. 767/2009.</w:t>
      </w:r>
    </w:p>
    <w:p w:rsidR="00F9433E" w:rsidRPr="00300F3C" w:rsidRDefault="00F9433E" w:rsidP="00F9433E">
      <w:pPr>
        <w:pStyle w:val="Default"/>
        <w:jc w:val="both"/>
        <w:rPr>
          <w:rFonts w:ascii="Verdana" w:hAnsi="Verdana" w:cs="Tahoma"/>
          <w:sz w:val="20"/>
          <w:szCs w:val="20"/>
        </w:rPr>
      </w:pPr>
    </w:p>
    <w:p w:rsidR="00F9433E" w:rsidRPr="00300F3C" w:rsidRDefault="00F9433E" w:rsidP="00F9433E">
      <w:pPr>
        <w:pStyle w:val="Default"/>
        <w:jc w:val="both"/>
        <w:rPr>
          <w:rFonts w:ascii="Verdana" w:hAnsi="Verdana" w:cs="Tahoma"/>
          <w:sz w:val="20"/>
          <w:szCs w:val="20"/>
        </w:rPr>
      </w:pPr>
      <w:r>
        <w:rPr>
          <w:rFonts w:ascii="Verdana" w:hAnsi="Verdana"/>
          <w:sz w:val="20"/>
        </w:rPr>
        <w:t>Týmto spôsobom sú v rámci nariadenia (EÚ) č. 68/2013 uvedené kŕmne suroviny súvisiace s bionaftou (upravené pre rastlinný pôvod):</w:t>
      </w:r>
    </w:p>
    <w:tbl>
      <w:tblPr>
        <w:tblStyle w:val="TableGrid"/>
        <w:tblW w:w="0" w:type="auto"/>
        <w:tblLook w:val="04A0" w:firstRow="1" w:lastRow="0" w:firstColumn="1" w:lastColumn="0" w:noHBand="0" w:noVBand="1"/>
      </w:tblPr>
      <w:tblGrid>
        <w:gridCol w:w="1951"/>
        <w:gridCol w:w="992"/>
        <w:gridCol w:w="6111"/>
      </w:tblGrid>
      <w:tr w:rsidR="001C3A68" w:rsidTr="001C3A68">
        <w:tc>
          <w:tcPr>
            <w:tcW w:w="1951" w:type="dxa"/>
          </w:tcPr>
          <w:p w:rsidR="001C3A68" w:rsidRPr="001C3A68" w:rsidRDefault="001C3A68" w:rsidP="001C3A68">
            <w:pPr>
              <w:jc w:val="both"/>
              <w:rPr>
                <w:rFonts w:ascii="Verdana" w:hAnsi="Verdana" w:cs="Tahoma"/>
                <w:szCs w:val="20"/>
              </w:rPr>
            </w:pPr>
            <w:r>
              <w:rPr>
                <w:rFonts w:ascii="Verdana" w:hAnsi="Verdana"/>
              </w:rPr>
              <w:t>Glycerín, surový</w:t>
            </w:r>
          </w:p>
          <w:p w:rsidR="001C3A68" w:rsidRPr="001C3A68" w:rsidRDefault="001C3A68" w:rsidP="00550C20">
            <w:pPr>
              <w:jc w:val="both"/>
              <w:rPr>
                <w:rFonts w:ascii="Verdana" w:hAnsi="Verdana" w:cs="Tahoma"/>
                <w:szCs w:val="20"/>
              </w:rPr>
            </w:pPr>
          </w:p>
        </w:tc>
        <w:tc>
          <w:tcPr>
            <w:tcW w:w="992" w:type="dxa"/>
          </w:tcPr>
          <w:p w:rsidR="001C3A68" w:rsidRPr="001C3A68" w:rsidRDefault="001C3A68" w:rsidP="00550C20">
            <w:pPr>
              <w:jc w:val="both"/>
              <w:rPr>
                <w:rFonts w:ascii="Verdana" w:hAnsi="Verdana" w:cs="Tahoma"/>
                <w:szCs w:val="20"/>
              </w:rPr>
            </w:pPr>
            <w:r>
              <w:rPr>
                <w:rFonts w:ascii="Verdana" w:hAnsi="Verdana"/>
              </w:rPr>
              <w:t>13.8.1</w:t>
            </w:r>
          </w:p>
        </w:tc>
        <w:tc>
          <w:tcPr>
            <w:tcW w:w="6111" w:type="dxa"/>
          </w:tcPr>
          <w:p w:rsidR="001C3A68" w:rsidRPr="00151ACA" w:rsidRDefault="001C3A68" w:rsidP="00800E2C">
            <w:pPr>
              <w:widowControl w:val="0"/>
              <w:autoSpaceDE w:val="0"/>
              <w:autoSpaceDN w:val="0"/>
              <w:adjustRightInd w:val="0"/>
              <w:ind w:left="84"/>
              <w:jc w:val="both"/>
              <w:rPr>
                <w:rFonts w:ascii="Verdana" w:hAnsi="Verdana"/>
                <w:szCs w:val="20"/>
              </w:rPr>
            </w:pPr>
            <w:r>
              <w:rPr>
                <w:rFonts w:ascii="Verdana" w:hAnsi="Verdana"/>
              </w:rPr>
              <w:t>Vedľajší produkt získaný z/zo:</w:t>
            </w:r>
          </w:p>
          <w:p w:rsidR="001C3A68" w:rsidRPr="00151ACA" w:rsidRDefault="001C3A68" w:rsidP="00151ACA">
            <w:pPr>
              <w:widowControl w:val="0"/>
              <w:autoSpaceDE w:val="0"/>
              <w:autoSpaceDN w:val="0"/>
              <w:adjustRightInd w:val="0"/>
              <w:spacing w:before="85" w:line="235" w:lineRule="auto"/>
              <w:ind w:left="331" w:right="53" w:hanging="247"/>
              <w:jc w:val="both"/>
              <w:rPr>
                <w:rFonts w:ascii="Verdana" w:hAnsi="Verdana"/>
                <w:szCs w:val="20"/>
              </w:rPr>
            </w:pPr>
            <w:r>
              <w:rPr>
                <w:rFonts w:ascii="Verdana" w:hAnsi="Verdana"/>
              </w:rPr>
              <w:t>– oleochemického procesu štiepenia olejov/tukov s cieľom získať mastné kyseliny a sladkú vodu, po ktorom nasleduje koncentrácia sladkej vody na účely získania surového glycerínu alebo transesterifikácia (môže obsahovať až do 0,5 % metanolu) prírodných olejov/tukov s cieľom získať metylestery mastných kyselín (fatty acid methyl ester – FAME) a sladkú vodu, po ktorej nasleduje koncentrácia sladkej vody s cieľom získať surový glycerín,</w:t>
            </w:r>
          </w:p>
          <w:p w:rsidR="001C3A68" w:rsidRPr="00151ACA" w:rsidRDefault="001C3A68" w:rsidP="00800E2C">
            <w:pPr>
              <w:widowControl w:val="0"/>
              <w:autoSpaceDE w:val="0"/>
              <w:autoSpaceDN w:val="0"/>
              <w:adjustRightInd w:val="0"/>
              <w:spacing w:before="84" w:line="235" w:lineRule="auto"/>
              <w:ind w:left="331" w:right="53" w:hanging="247"/>
              <w:jc w:val="both"/>
              <w:rPr>
                <w:rFonts w:ascii="Verdana" w:hAnsi="Verdana"/>
                <w:szCs w:val="20"/>
              </w:rPr>
            </w:pPr>
            <w:r>
              <w:rPr>
                <w:rFonts w:ascii="Verdana" w:hAnsi="Verdana"/>
              </w:rPr>
              <w:t>– produkcie bionafty (metylestery alebo etylestery mastných kyselín) transesterifikáciou olejov a tukov nešpecifikovaného rastlinného pôvodu. V glyceríne môžu zostať minerálne a organické soli (až do 7,5 %).</w:t>
            </w:r>
          </w:p>
          <w:p w:rsidR="001C3A68" w:rsidRPr="00151ACA" w:rsidRDefault="001C3A68" w:rsidP="00151ACA">
            <w:pPr>
              <w:widowControl w:val="0"/>
              <w:autoSpaceDE w:val="0"/>
              <w:autoSpaceDN w:val="0"/>
              <w:adjustRightInd w:val="0"/>
              <w:spacing w:before="83"/>
              <w:ind w:left="84"/>
              <w:jc w:val="both"/>
              <w:rPr>
                <w:rFonts w:ascii="Verdana" w:hAnsi="Verdana"/>
                <w:szCs w:val="20"/>
              </w:rPr>
            </w:pPr>
            <w:r>
              <w:rPr>
                <w:rFonts w:ascii="Verdana" w:hAnsi="Verdana"/>
              </w:rPr>
              <w:t>Môže obsahovať až do 0,5 % metanolu a až do 4 % organickej hmoty bez obsahu glycerínu (Matter Organic Non Glycerol, MONG) pozostávajúcej z metylesterov mastných kyselín, etylesterov mastných kyselín, voľných mastných kyselín a glyceridov,</w:t>
            </w:r>
          </w:p>
          <w:p w:rsidR="00151ACA" w:rsidRDefault="001C3A68" w:rsidP="00151ACA">
            <w:pPr>
              <w:widowControl w:val="0"/>
              <w:autoSpaceDE w:val="0"/>
              <w:autoSpaceDN w:val="0"/>
              <w:adjustRightInd w:val="0"/>
              <w:spacing w:before="84" w:line="235" w:lineRule="auto"/>
              <w:ind w:left="331" w:right="55" w:hanging="247"/>
              <w:jc w:val="both"/>
              <w:rPr>
                <w:rFonts w:ascii="Verdana" w:hAnsi="Verdana"/>
                <w:szCs w:val="20"/>
              </w:rPr>
            </w:pPr>
            <w:r>
              <w:rPr>
                <w:rFonts w:ascii="Verdana" w:hAnsi="Verdana"/>
              </w:rPr>
              <w:t>– zmydelňovania olejov/tukov rastlinného pôvodu za normálnych okolností s alkáliami/alkalickými zeminami na účely získania mydla.</w:t>
            </w:r>
          </w:p>
          <w:p w:rsidR="001C3A68" w:rsidRPr="00151ACA" w:rsidRDefault="001C3A68" w:rsidP="00151ACA">
            <w:pPr>
              <w:widowControl w:val="0"/>
              <w:autoSpaceDE w:val="0"/>
              <w:autoSpaceDN w:val="0"/>
              <w:adjustRightInd w:val="0"/>
              <w:spacing w:before="84" w:line="235" w:lineRule="auto"/>
              <w:ind w:left="331" w:right="55" w:hanging="247"/>
              <w:jc w:val="both"/>
              <w:rPr>
                <w:rFonts w:ascii="Verdana" w:hAnsi="Verdana"/>
                <w:szCs w:val="20"/>
              </w:rPr>
            </w:pPr>
            <w:r>
              <w:rPr>
                <w:rFonts w:ascii="Verdana" w:hAnsi="Verdana"/>
              </w:rPr>
              <w:t>Môže obsahovať až do 50 ppm niklu z hydrogenácie.</w:t>
            </w:r>
          </w:p>
        </w:tc>
      </w:tr>
      <w:tr w:rsidR="001C3A68" w:rsidTr="001C3A68">
        <w:tc>
          <w:tcPr>
            <w:tcW w:w="1951" w:type="dxa"/>
          </w:tcPr>
          <w:p w:rsidR="001C3A68" w:rsidRPr="001C3A68" w:rsidRDefault="001C3A68" w:rsidP="00550C20">
            <w:pPr>
              <w:jc w:val="both"/>
              <w:rPr>
                <w:rFonts w:ascii="Verdana" w:hAnsi="Verdana" w:cs="Tahoma"/>
                <w:szCs w:val="20"/>
              </w:rPr>
            </w:pPr>
            <w:r>
              <w:rPr>
                <w:rFonts w:ascii="Verdana" w:hAnsi="Verdana"/>
              </w:rPr>
              <w:t>Glycerín</w:t>
            </w:r>
          </w:p>
        </w:tc>
        <w:tc>
          <w:tcPr>
            <w:tcW w:w="992" w:type="dxa"/>
          </w:tcPr>
          <w:p w:rsidR="001C3A68" w:rsidRPr="001C3A68" w:rsidRDefault="001C3A68" w:rsidP="00550C20">
            <w:pPr>
              <w:jc w:val="both"/>
              <w:rPr>
                <w:rFonts w:ascii="Verdana" w:hAnsi="Verdana" w:cs="Tahoma"/>
                <w:szCs w:val="20"/>
              </w:rPr>
            </w:pPr>
            <w:r>
              <w:rPr>
                <w:rFonts w:ascii="Verdana" w:hAnsi="Verdana"/>
              </w:rPr>
              <w:t>13.8.2</w:t>
            </w:r>
          </w:p>
        </w:tc>
        <w:tc>
          <w:tcPr>
            <w:tcW w:w="6111" w:type="dxa"/>
          </w:tcPr>
          <w:p w:rsidR="001C3A68" w:rsidRPr="00151ACA" w:rsidRDefault="001C3A68" w:rsidP="001C3A68">
            <w:pPr>
              <w:widowControl w:val="0"/>
              <w:autoSpaceDE w:val="0"/>
              <w:autoSpaceDN w:val="0"/>
              <w:adjustRightInd w:val="0"/>
              <w:ind w:left="84"/>
              <w:rPr>
                <w:rFonts w:ascii="Verdana" w:hAnsi="Verdana"/>
                <w:szCs w:val="20"/>
              </w:rPr>
            </w:pPr>
            <w:r>
              <w:rPr>
                <w:rFonts w:ascii="Verdana" w:hAnsi="Verdana"/>
              </w:rPr>
              <w:t>– Produkt získaný z/zo:</w:t>
            </w:r>
          </w:p>
          <w:p w:rsidR="001C3A68" w:rsidRPr="00151ACA" w:rsidRDefault="001C3A68" w:rsidP="00800E2C">
            <w:pPr>
              <w:widowControl w:val="0"/>
              <w:autoSpaceDE w:val="0"/>
              <w:autoSpaceDN w:val="0"/>
              <w:adjustRightInd w:val="0"/>
              <w:spacing w:before="87" w:line="192" w:lineRule="exact"/>
              <w:ind w:left="331" w:right="53" w:hanging="247"/>
              <w:rPr>
                <w:rFonts w:ascii="Verdana" w:hAnsi="Verdana"/>
                <w:szCs w:val="20"/>
              </w:rPr>
            </w:pPr>
            <w:r>
              <w:rPr>
                <w:rFonts w:ascii="Verdana" w:hAnsi="Verdana"/>
              </w:rPr>
              <w:t>– oleochemického procesu a) štiepenia olejov/tukov, po ktorom nasleduje koncentrácia sladkých vôd a rafinácia destiláciou (pozri položku 20 v časti B slovníka procesov) alebo proces výmeny iónov, b) transesterifikácie prírodných olejov/tukov s cieľom získať metylestery mastných kyselín a surovú sladkú vodu, po ktorej nasleduje koncentrácia sladkej vody s cieľom získať surový glycerín a proces rafinácie destiláciou alebo proces výmeny iónov,</w:t>
            </w:r>
          </w:p>
          <w:p w:rsidR="001C3A68" w:rsidRPr="00151ACA" w:rsidRDefault="001C3A68" w:rsidP="001C3A68">
            <w:pPr>
              <w:widowControl w:val="0"/>
              <w:autoSpaceDE w:val="0"/>
              <w:autoSpaceDN w:val="0"/>
              <w:adjustRightInd w:val="0"/>
              <w:spacing w:before="82" w:line="235" w:lineRule="auto"/>
              <w:ind w:left="331" w:right="53" w:hanging="247"/>
              <w:rPr>
                <w:rFonts w:ascii="Verdana" w:hAnsi="Verdana"/>
                <w:szCs w:val="20"/>
              </w:rPr>
            </w:pPr>
            <w:r>
              <w:rPr>
                <w:rFonts w:ascii="Verdana" w:hAnsi="Verdana"/>
              </w:rPr>
              <w:t>– výroby bionafty (metylestery alebo etylestery mastných kyselín) transesterifikáciou olejov a tukov nešpecifikovaného rastlinného pôvodu s následnou rafináciou glycerínu. Minimálny obsah glycerínu:</w:t>
            </w:r>
          </w:p>
          <w:p w:rsidR="001C3A68" w:rsidRPr="00151ACA" w:rsidRDefault="001C3A68" w:rsidP="001C3A68">
            <w:pPr>
              <w:widowControl w:val="0"/>
              <w:tabs>
                <w:tab w:val="center" w:pos="2829"/>
              </w:tabs>
              <w:autoSpaceDE w:val="0"/>
              <w:autoSpaceDN w:val="0"/>
              <w:adjustRightInd w:val="0"/>
              <w:spacing w:line="193" w:lineRule="exact"/>
              <w:ind w:left="331"/>
              <w:rPr>
                <w:rFonts w:ascii="Verdana" w:hAnsi="Verdana"/>
                <w:szCs w:val="20"/>
              </w:rPr>
            </w:pPr>
            <w:r>
              <w:rPr>
                <w:rFonts w:ascii="Verdana" w:hAnsi="Verdana"/>
              </w:rPr>
              <w:t>v sušine: 99 %,</w:t>
            </w:r>
            <w:r>
              <w:tab/>
            </w:r>
          </w:p>
          <w:p w:rsidR="001C3A68" w:rsidRPr="00151ACA" w:rsidRDefault="001C3A68" w:rsidP="001C3A68">
            <w:pPr>
              <w:widowControl w:val="0"/>
              <w:autoSpaceDE w:val="0"/>
              <w:autoSpaceDN w:val="0"/>
              <w:adjustRightInd w:val="0"/>
              <w:spacing w:before="84" w:line="235" w:lineRule="auto"/>
              <w:ind w:left="331" w:right="54" w:hanging="247"/>
              <w:jc w:val="both"/>
              <w:rPr>
                <w:rFonts w:ascii="Verdana" w:hAnsi="Verdana"/>
                <w:szCs w:val="20"/>
              </w:rPr>
            </w:pPr>
            <w:r>
              <w:rPr>
                <w:rFonts w:ascii="Verdana" w:hAnsi="Verdana"/>
              </w:rPr>
              <w:t xml:space="preserve">– zmydelňovania olejov/tukov rastlinného pôvodu za </w:t>
            </w:r>
            <w:r>
              <w:rPr>
                <w:rFonts w:ascii="Verdana" w:hAnsi="Verdana"/>
              </w:rPr>
              <w:lastRenderedPageBreak/>
              <w:t>normálnych okolností s alkáliami/alkalickými zeminami na účely získania mydiel, po ktorom nasleduje rafinácia surového glycerínu a destilácia.</w:t>
            </w:r>
          </w:p>
          <w:p w:rsidR="001C3A68" w:rsidRPr="001C3A68" w:rsidRDefault="001C3A68" w:rsidP="001C3A68">
            <w:pPr>
              <w:jc w:val="both"/>
              <w:rPr>
                <w:rFonts w:ascii="Verdana" w:hAnsi="Verdana" w:cs="Tahoma"/>
                <w:szCs w:val="20"/>
              </w:rPr>
            </w:pPr>
            <w:r>
              <w:rPr>
                <w:rFonts w:ascii="Verdana" w:hAnsi="Verdana"/>
              </w:rPr>
              <w:t>Môže obsahovať až do 50 ppm niklu z hydrogenácie.</w:t>
            </w:r>
          </w:p>
        </w:tc>
      </w:tr>
    </w:tbl>
    <w:p w:rsidR="00FA37B8" w:rsidRDefault="00FA37B8" w:rsidP="00550C20">
      <w:pPr>
        <w:jc w:val="both"/>
        <w:rPr>
          <w:rFonts w:ascii="Verdana" w:hAnsi="Verdana" w:cs="Tahoma"/>
          <w:szCs w:val="20"/>
        </w:rPr>
      </w:pPr>
    </w:p>
    <w:p w:rsidR="00A54A61" w:rsidRPr="00EF37AB" w:rsidRDefault="008A5677" w:rsidP="009A2CDE">
      <w:pPr>
        <w:jc w:val="both"/>
        <w:rPr>
          <w:rFonts w:ascii="Verdana" w:hAnsi="Verdana" w:cs="Tahoma"/>
          <w:b/>
          <w:szCs w:val="20"/>
        </w:rPr>
      </w:pPr>
      <w:r>
        <w:rPr>
          <w:rFonts w:ascii="Verdana" w:hAnsi="Verdana"/>
          <w:b/>
        </w:rPr>
        <w:t xml:space="preserve">2.1 Technologické pomocné látky prípadne použité počas úpravy/ošetrenia a spracovania  </w:t>
      </w:r>
    </w:p>
    <w:p w:rsidR="00CF3131" w:rsidRPr="00EF37AB" w:rsidRDefault="00CF3131" w:rsidP="009A2CDE">
      <w:pPr>
        <w:jc w:val="both"/>
        <w:rPr>
          <w:rFonts w:ascii="Verdana" w:hAnsi="Verdana" w:cs="Tahoma"/>
          <w:szCs w:val="20"/>
        </w:rPr>
      </w:pPr>
      <w:r>
        <w:rPr>
          <w:rFonts w:ascii="Verdana" w:hAnsi="Verdana"/>
        </w:rPr>
        <w:t>voda</w:t>
      </w:r>
    </w:p>
    <w:p w:rsidR="00CF3131" w:rsidRPr="00EF37AB" w:rsidRDefault="00CF3131" w:rsidP="009A2CDE">
      <w:pPr>
        <w:jc w:val="both"/>
        <w:rPr>
          <w:rFonts w:ascii="Verdana" w:hAnsi="Verdana" w:cs="Tahoma"/>
          <w:szCs w:val="20"/>
        </w:rPr>
      </w:pPr>
      <w:r>
        <w:rPr>
          <w:rFonts w:ascii="Verdana" w:hAnsi="Verdana"/>
        </w:rPr>
        <w:t>síran hlinitý</w:t>
      </w:r>
    </w:p>
    <w:p w:rsidR="00CF3131" w:rsidRPr="00EF37AB" w:rsidRDefault="00CF3131" w:rsidP="009A2CDE">
      <w:pPr>
        <w:jc w:val="both"/>
        <w:rPr>
          <w:rFonts w:ascii="Verdana" w:hAnsi="Verdana" w:cs="Tahoma"/>
          <w:szCs w:val="20"/>
        </w:rPr>
      </w:pPr>
      <w:r>
        <w:rPr>
          <w:rFonts w:ascii="Verdana" w:hAnsi="Verdana"/>
        </w:rPr>
        <w:t>kyselina citrónová</w:t>
      </w:r>
    </w:p>
    <w:p w:rsidR="00CF3131" w:rsidRPr="00EF37AB" w:rsidRDefault="00CF3131" w:rsidP="009A2CDE">
      <w:pPr>
        <w:jc w:val="both"/>
        <w:rPr>
          <w:rFonts w:ascii="Verdana" w:hAnsi="Verdana" w:cs="Tahoma"/>
          <w:szCs w:val="20"/>
        </w:rPr>
      </w:pPr>
      <w:r>
        <w:rPr>
          <w:rFonts w:ascii="Verdana" w:hAnsi="Verdana"/>
        </w:rPr>
        <w:t>chlorid železitý</w:t>
      </w:r>
    </w:p>
    <w:p w:rsidR="00CF3131" w:rsidRPr="00EF37AB" w:rsidRDefault="00CF3131" w:rsidP="009A2CDE">
      <w:pPr>
        <w:jc w:val="both"/>
        <w:rPr>
          <w:rFonts w:ascii="Verdana" w:hAnsi="Verdana" w:cs="Tahoma"/>
          <w:szCs w:val="20"/>
        </w:rPr>
      </w:pPr>
      <w:r>
        <w:rPr>
          <w:rFonts w:ascii="Verdana" w:hAnsi="Verdana"/>
        </w:rPr>
        <w:t>kyselina chlorovodíková</w:t>
      </w:r>
    </w:p>
    <w:p w:rsidR="00CF3131" w:rsidRPr="00EF37AB" w:rsidRDefault="00CF3131" w:rsidP="009A2CDE">
      <w:pPr>
        <w:jc w:val="both"/>
        <w:rPr>
          <w:rFonts w:ascii="Verdana" w:hAnsi="Verdana" w:cs="Tahoma"/>
          <w:szCs w:val="20"/>
        </w:rPr>
      </w:pPr>
      <w:r>
        <w:rPr>
          <w:rFonts w:ascii="Verdana" w:hAnsi="Verdana"/>
        </w:rPr>
        <w:t>hydroxid draselný</w:t>
      </w:r>
    </w:p>
    <w:p w:rsidR="00CF3131" w:rsidRPr="00EF37AB" w:rsidRDefault="00CF3131" w:rsidP="009A2CDE">
      <w:pPr>
        <w:jc w:val="both"/>
        <w:rPr>
          <w:rFonts w:ascii="Verdana" w:hAnsi="Verdana" w:cs="Tahoma"/>
          <w:szCs w:val="20"/>
        </w:rPr>
      </w:pPr>
      <w:r>
        <w:rPr>
          <w:rFonts w:ascii="Verdana" w:hAnsi="Verdana"/>
        </w:rPr>
        <w:t>hydroxid sodný</w:t>
      </w:r>
    </w:p>
    <w:p w:rsidR="00CF3131" w:rsidRPr="00EF37AB" w:rsidRDefault="00CF3131" w:rsidP="009A2CDE">
      <w:pPr>
        <w:jc w:val="both"/>
        <w:rPr>
          <w:rFonts w:ascii="Verdana" w:hAnsi="Verdana" w:cs="Tahoma"/>
          <w:szCs w:val="20"/>
        </w:rPr>
      </w:pPr>
      <w:r>
        <w:rPr>
          <w:rFonts w:ascii="Verdana" w:hAnsi="Verdana"/>
        </w:rPr>
        <w:t>nátrium-metanolát (metoxid sodný)</w:t>
      </w:r>
    </w:p>
    <w:p w:rsidR="00CF3131" w:rsidRDefault="008A5B95" w:rsidP="009A2CDE">
      <w:pPr>
        <w:jc w:val="both"/>
        <w:rPr>
          <w:rFonts w:ascii="Verdana" w:hAnsi="Verdana" w:cs="Tahoma"/>
          <w:szCs w:val="20"/>
        </w:rPr>
      </w:pPr>
      <w:r>
        <w:rPr>
          <w:rFonts w:ascii="Verdana" w:hAnsi="Verdana"/>
        </w:rPr>
        <w:t>kyselina sírová</w:t>
      </w:r>
    </w:p>
    <w:p w:rsidR="008A5B95" w:rsidRDefault="008A5B95" w:rsidP="009A2CDE">
      <w:pPr>
        <w:jc w:val="both"/>
        <w:rPr>
          <w:rFonts w:ascii="Verdana" w:hAnsi="Verdana" w:cs="Tahoma"/>
          <w:szCs w:val="20"/>
        </w:rPr>
      </w:pPr>
      <w:r>
        <w:rPr>
          <w:rFonts w:ascii="Verdana" w:hAnsi="Verdana"/>
        </w:rPr>
        <w:t>kyselina fosforečná</w:t>
      </w:r>
    </w:p>
    <w:p w:rsidR="00F04046" w:rsidRPr="00300F3C" w:rsidRDefault="00F04046" w:rsidP="009A2CDE">
      <w:pPr>
        <w:jc w:val="both"/>
        <w:rPr>
          <w:rFonts w:ascii="Verdana" w:hAnsi="Verdana" w:cs="Tahoma"/>
          <w:szCs w:val="20"/>
        </w:rPr>
      </w:pPr>
      <w:r>
        <w:rPr>
          <w:rFonts w:ascii="Verdana" w:hAnsi="Verdana"/>
        </w:rPr>
        <w:t>kyselina 4-metylbenzénsulfónová (kyselina p-toluénsulfónová)</w:t>
      </w:r>
    </w:p>
    <w:p w:rsidR="00CF3131" w:rsidRPr="00300F3C" w:rsidRDefault="00CF3131" w:rsidP="009A2CDE">
      <w:pPr>
        <w:jc w:val="both"/>
        <w:rPr>
          <w:rFonts w:ascii="Verdana" w:hAnsi="Verdana" w:cs="Tahoma"/>
          <w:b/>
          <w:szCs w:val="20"/>
        </w:rPr>
      </w:pPr>
    </w:p>
    <w:p w:rsidR="00591963" w:rsidRPr="00D562AC" w:rsidRDefault="00E752D5" w:rsidP="00E752D5">
      <w:pPr>
        <w:rPr>
          <w:rFonts w:ascii="Verdana" w:hAnsi="Verdana"/>
          <w:u w:val="single"/>
        </w:rPr>
      </w:pPr>
      <w:r>
        <w:rPr>
          <w:rFonts w:ascii="Verdana" w:hAnsi="Verdana"/>
          <w:u w:val="single"/>
        </w:rPr>
        <w:t>Tento zoznam nie je vyčerpávajúci.</w:t>
      </w:r>
      <w:r>
        <w:br w:type="page"/>
      </w:r>
    </w:p>
    <w:p w:rsidR="00667EF1" w:rsidRPr="00300F3C" w:rsidRDefault="00667EF1" w:rsidP="00DD7B4B">
      <w:pPr>
        <w:pStyle w:val="Heading1"/>
        <w:tabs>
          <w:tab w:val="clear" w:pos="432"/>
          <w:tab w:val="num" w:pos="420"/>
        </w:tabs>
        <w:rPr>
          <w:rFonts w:ascii="Verdana" w:hAnsi="Verdana" w:cs="Tahoma"/>
        </w:rPr>
      </w:pPr>
      <w:bookmarkStart w:id="2" w:name="_Toc438220115"/>
      <w:r>
        <w:rPr>
          <w:rFonts w:ascii="Verdana" w:hAnsi="Verdana"/>
        </w:rPr>
        <w:lastRenderedPageBreak/>
        <w:t>Opis spracovania bionafty</w:t>
      </w:r>
      <w:bookmarkEnd w:id="2"/>
    </w:p>
    <w:p w:rsidR="00BF3FB9" w:rsidRPr="00300F3C" w:rsidRDefault="00BF3FB9" w:rsidP="00BF3FB9">
      <w:pPr>
        <w:rPr>
          <w:rFonts w:ascii="Verdana" w:hAnsi="Verdana"/>
        </w:rPr>
      </w:pPr>
    </w:p>
    <w:p w:rsidR="005B3B72" w:rsidRDefault="005B3B72" w:rsidP="00586F90">
      <w:pPr>
        <w:autoSpaceDE w:val="0"/>
        <w:autoSpaceDN w:val="0"/>
        <w:adjustRightInd w:val="0"/>
        <w:jc w:val="both"/>
      </w:pPr>
      <w:r>
        <w:t>Bionafta pozostáva z metylesterov mastných kyselín a vyrába sa chemickou reakciou olejov a tukov s jednosýtnymi alkoholmi, zvyčajne metanolom. Na urýchlenie tvorby alkylesterov sa používa katalyzátor, zvyčajne hydroxid sodný alebo draselný a/alebo nátrium-metanolát alebo kálium-metanolát. Tento výrobný proces je všeobecne známy ako transesterifikácia.</w:t>
      </w:r>
    </w:p>
    <w:p w:rsidR="00BF3FB9" w:rsidRPr="00300F3C" w:rsidRDefault="00A43097" w:rsidP="00586F90">
      <w:pPr>
        <w:autoSpaceDE w:val="0"/>
        <w:autoSpaceDN w:val="0"/>
        <w:adjustRightInd w:val="0"/>
        <w:jc w:val="both"/>
        <w:rPr>
          <w:rFonts w:ascii="Verdana" w:hAnsi="Verdana"/>
        </w:rPr>
      </w:pPr>
      <w:r>
        <w:rPr>
          <w:noProof/>
          <w:lang w:val="en-GB" w:eastAsia="en-GB" w:bidi="ar-SA"/>
        </w:rPr>
        <mc:AlternateContent>
          <mc:Choice Requires="wpg">
            <w:drawing>
              <wp:inline distT="0" distB="0" distL="0" distR="0">
                <wp:extent cx="4924425" cy="1114425"/>
                <wp:effectExtent l="19050" t="19050" r="47625" b="66675"/>
                <wp:docPr id="5" name="Group 5"/>
                <wp:cNvGraphicFramePr/>
                <a:graphic xmlns:a="http://schemas.openxmlformats.org/drawingml/2006/main">
                  <a:graphicData uri="http://schemas.microsoft.com/office/word/2010/wordprocessingGroup">
                    <wpg:wgp>
                      <wpg:cNvGrpSpPr/>
                      <wpg:grpSpPr>
                        <a:xfrm>
                          <a:off x="0" y="0"/>
                          <a:ext cx="4924425" cy="1114425"/>
                          <a:chOff x="0" y="0"/>
                          <a:chExt cx="4924425" cy="1114425"/>
                        </a:xfrm>
                      </wpg:grpSpPr>
                      <wps:wsp>
                        <wps:cNvPr id="11" name="Flowchart: Alternate Process 11"/>
                        <wps:cNvSpPr>
                          <a:spLocks noChangeArrowheads="1"/>
                        </wps:cNvSpPr>
                        <wps:spPr bwMode="auto">
                          <a:xfrm>
                            <a:off x="0" y="0"/>
                            <a:ext cx="1409700" cy="1114425"/>
                          </a:xfrm>
                          <a:prstGeom prst="flowChartAlternateProcess">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A43097" w:rsidRDefault="00A43097" w:rsidP="00A43097">
                              <w:pPr>
                                <w:spacing w:line="360" w:lineRule="auto"/>
                                <w:jc w:val="center"/>
                                <w:rPr>
                                  <w:b/>
                                  <w:szCs w:val="20"/>
                                  <w:u w:val="single"/>
                                </w:rPr>
                              </w:pPr>
                              <w:r>
                                <w:rPr>
                                  <w:b/>
                                  <w:u w:val="single"/>
                                </w:rPr>
                                <w:t>Rastlinné oleje</w:t>
                              </w:r>
                            </w:p>
                            <w:p w:rsidR="00A43097" w:rsidRDefault="00A43097" w:rsidP="00A43097">
                              <w:r>
                                <w:t>Repkový olej</w:t>
                              </w:r>
                            </w:p>
                            <w:p w:rsidR="00A43097" w:rsidRDefault="00A43097" w:rsidP="00A43097">
                              <w:r>
                                <w:t>Sójový olej</w:t>
                              </w:r>
                            </w:p>
                            <w:p w:rsidR="00A43097" w:rsidRDefault="00A43097" w:rsidP="00A43097">
                              <w:r>
                                <w:t>Slnečnicový olej</w:t>
                              </w:r>
                            </w:p>
                            <w:p w:rsidR="00A43097" w:rsidRDefault="00A43097" w:rsidP="00A43097">
                              <w:r>
                                <w:t>Palmový olej</w:t>
                              </w:r>
                            </w:p>
                          </w:txbxContent>
                        </wps:txbx>
                        <wps:bodyPr rot="0" vert="horz" wrap="square" lIns="91440" tIns="45720" rIns="91440" bIns="45720" anchor="t" anchorCtr="0" upright="1">
                          <a:noAutofit/>
                        </wps:bodyPr>
                      </wps:wsp>
                      <wps:wsp>
                        <wps:cNvPr id="14" name="Flowchart: Alternate Process 14"/>
                        <wps:cNvSpPr>
                          <a:spLocks noChangeArrowheads="1"/>
                        </wps:cNvSpPr>
                        <wps:spPr bwMode="auto">
                          <a:xfrm>
                            <a:off x="3419475" y="0"/>
                            <a:ext cx="1504950" cy="1114425"/>
                          </a:xfrm>
                          <a:prstGeom prst="flowChartAlternateProcess">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A43097" w:rsidRDefault="00A43097" w:rsidP="00A43097">
                              <w:pPr>
                                <w:spacing w:line="360" w:lineRule="auto"/>
                                <w:jc w:val="center"/>
                                <w:rPr>
                                  <w:b/>
                                  <w:u w:val="single"/>
                                </w:rPr>
                              </w:pPr>
                              <w:r>
                                <w:rPr>
                                  <w:b/>
                                  <w:u w:val="single"/>
                                </w:rPr>
                                <w:t>Katalyzátor</w:t>
                              </w:r>
                            </w:p>
                            <w:p w:rsidR="00A43097" w:rsidRDefault="00A43097" w:rsidP="00A43097">
                              <w:r>
                                <w:t>Hydroxid sodný</w:t>
                              </w:r>
                            </w:p>
                            <w:p w:rsidR="00A43097" w:rsidRDefault="00A43097" w:rsidP="00A43097">
                              <w:r>
                                <w:t>Hydroxid draselný</w:t>
                              </w:r>
                            </w:p>
                          </w:txbxContent>
                        </wps:txbx>
                        <wps:bodyPr rot="0" vert="horz" wrap="square" lIns="91440" tIns="45720" rIns="91440" bIns="45720" anchor="t" anchorCtr="0" upright="1">
                          <a:noAutofit/>
                        </wps:bodyPr>
                      </wps:wsp>
                      <wps:wsp>
                        <wps:cNvPr id="12" name="Flowchart: Alternate Process 12"/>
                        <wps:cNvSpPr>
                          <a:spLocks noChangeArrowheads="1"/>
                        </wps:cNvSpPr>
                        <wps:spPr bwMode="auto">
                          <a:xfrm>
                            <a:off x="1676400" y="0"/>
                            <a:ext cx="1409700" cy="1114425"/>
                          </a:xfrm>
                          <a:prstGeom prst="flowChartAlternateProcess">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A43097" w:rsidRDefault="00A43097" w:rsidP="00A43097">
                              <w:pPr>
                                <w:spacing w:line="360" w:lineRule="auto"/>
                                <w:jc w:val="center"/>
                                <w:rPr>
                                  <w:b/>
                                  <w:u w:val="single"/>
                                </w:rPr>
                              </w:pPr>
                              <w:r>
                                <w:rPr>
                                  <w:b/>
                                  <w:u w:val="single"/>
                                </w:rPr>
                                <w:t>Alkohol</w:t>
                              </w:r>
                            </w:p>
                            <w:p w:rsidR="00A43097" w:rsidRDefault="00A43097" w:rsidP="00A43097">
                              <w:r>
                                <w:t>Metanol</w:t>
                              </w:r>
                            </w:p>
                            <w:p w:rsidR="00A43097" w:rsidRDefault="00A43097" w:rsidP="00A43097">
                              <w:r>
                                <w:t>Etanol</w:t>
                              </w:r>
                            </w:p>
                          </w:txbxContent>
                        </wps:txbx>
                        <wps:bodyPr rot="0" vert="horz" wrap="square" lIns="91440" tIns="45720" rIns="91440" bIns="45720" anchor="t" anchorCtr="0" upright="1">
                          <a:noAutofit/>
                        </wps:bodyPr>
                      </wps:wsp>
                    </wpg:wgp>
                  </a:graphicData>
                </a:graphic>
              </wp:inline>
            </w:drawing>
          </mc:Choice>
          <mc:Fallback>
            <w:pict>
              <v:group id="Group 5" o:spid="_x0000_s1026" style="width:387.75pt;height:87.75pt;mso-position-horizontal-relative:char;mso-position-vertical-relative:line" coordsize="49244,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 o:spid="_x0000_s1027" type="#_x0000_t176" style="position:absolute;width:14097;height:1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F7sEA&#10;AADbAAAADwAAAGRycy9kb3ducmV2LnhtbERP24rCMBB9X/Afwgj7tqZeVqQaxQu7WF+8fsDQjG21&#10;mZQmq/XvjbDg2xzOdSazxpTiRrUrLCvodiIQxKnVBWcKTsefrxEI55E1lpZJwYMczKatjwnG2t55&#10;T7eDz0QIYRejgtz7KpbSpTkZdB1bEQfubGuDPsA6k7rGewg3pexF0VAaLDg05FjRMqf0evgzCopk&#10;nm1336uL6++SRTrY/CbDgVHqs93MxyA8Nf4t/nevdZjfhdcv4QA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qhe7BAAAA2wAAAA8AAAAAAAAAAAAAAAAAmAIAAGRycy9kb3du&#10;cmV2LnhtbFBLBQYAAAAABAAEAPUAAACGAwAAAAA=&#10;" fillcolor="#9bbb59" strokecolor="#f2f2f2" strokeweight="3pt">
                  <v:shadow on="t" color="#4e6128" opacity=".5" offset="1pt"/>
                  <v:textbox>
                    <w:txbxContent>
                      <w:p w:rsidR="00A43097" w:rsidRDefault="00A43097" w:rsidP="00A43097">
                        <w:pPr>
                          <w:spacing w:line="360" w:lineRule="auto"/>
                          <w:jc w:val="center"/>
                          <w:rPr>
                            <w:b/>
                            <w:szCs w:val="20"/>
                            <w:u w:val="single"/>
                          </w:rPr>
                        </w:pPr>
                        <w:r>
                          <w:rPr>
                            <w:b/>
                            <w:u w:val="single"/>
                          </w:rPr>
                          <w:t>Rastlinné oleje</w:t>
                        </w:r>
                      </w:p>
                      <w:p w:rsidR="00A43097" w:rsidRDefault="00A43097" w:rsidP="00A43097">
                        <w:r>
                          <w:t>Repkový olej</w:t>
                        </w:r>
                      </w:p>
                      <w:p w:rsidR="00A43097" w:rsidRDefault="00A43097" w:rsidP="00A43097">
                        <w:r>
                          <w:t>Sójový olej</w:t>
                        </w:r>
                      </w:p>
                      <w:p w:rsidR="00A43097" w:rsidRDefault="00A43097" w:rsidP="00A43097">
                        <w:r>
                          <w:t>Slnečnicový olej</w:t>
                        </w:r>
                      </w:p>
                      <w:p w:rsidR="00A43097" w:rsidRDefault="00A43097" w:rsidP="00A43097">
                        <w:r>
                          <w:t>Palmový olej</w:t>
                        </w:r>
                      </w:p>
                    </w:txbxContent>
                  </v:textbox>
                </v:shape>
                <v:shape id="Flowchart: Alternate Process 14" o:spid="_x0000_s1028" type="#_x0000_t176" style="position:absolute;left:34194;width:15050;height:1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mdsIA&#10;AADbAAAADwAAAGRycy9kb3ducmV2LnhtbERP22rCQBB9F/yHZQTfdNM2iqSuoi0txpfGywcM2WmS&#10;mp0N2VXj37uC0Lc5nOvMl52pxYVaV1lW8DKOQBDnVldcKDgevkYzEM4ja6wtk4IbOVgu+r05Jtpe&#10;eUeXvS9ECGGXoILS+yaR0uUlGXRj2xAH7te2Bn2AbSF1i9cQbmr5GkVTabDi0FBiQx8l5af92Sio&#10;0lXxk00+/9xblq7zePudTmOj1HDQrd5BeOr8v/jp3ugwP4bHL+E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3SZ2wgAAANsAAAAPAAAAAAAAAAAAAAAAAJgCAABkcnMvZG93&#10;bnJldi54bWxQSwUGAAAAAAQABAD1AAAAhwMAAAAA&#10;" fillcolor="#9bbb59" strokecolor="#f2f2f2" strokeweight="3pt">
                  <v:shadow on="t" color="#4e6128" opacity=".5" offset="1pt"/>
                  <v:textbox>
                    <w:txbxContent>
                      <w:p w:rsidR="00A43097" w:rsidRDefault="00A43097" w:rsidP="00A43097">
                        <w:pPr>
                          <w:spacing w:line="360" w:lineRule="auto"/>
                          <w:jc w:val="center"/>
                          <w:rPr>
                            <w:b/>
                            <w:u w:val="single"/>
                          </w:rPr>
                        </w:pPr>
                        <w:r>
                          <w:rPr>
                            <w:b/>
                            <w:u w:val="single"/>
                          </w:rPr>
                          <w:t>Katalyzátor</w:t>
                        </w:r>
                      </w:p>
                      <w:p w:rsidR="00A43097" w:rsidRDefault="00A43097" w:rsidP="00A43097">
                        <w:r>
                          <w:t>Hydroxid sodný</w:t>
                        </w:r>
                      </w:p>
                      <w:p w:rsidR="00A43097" w:rsidRDefault="00A43097" w:rsidP="00A43097">
                        <w:r>
                          <w:t>Hydroxid draselný</w:t>
                        </w:r>
                      </w:p>
                    </w:txbxContent>
                  </v:textbox>
                </v:shape>
                <v:shape id="Flowchart: Alternate Process 12" o:spid="_x0000_s1029" type="#_x0000_t176" style="position:absolute;left:16764;width:14097;height:1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bmcIA&#10;AADbAAAADwAAAGRycy9kb3ducmV2LnhtbERP22rCQBB9L/gPywh9qxtTKxJdJVpamr54/YAhOybR&#10;7GzIbpP077uFQt/mcK6z2gymFh21rrKsYDqJQBDnVldcKLic354WIJxH1lhbJgXf5GCzHj2sMNG2&#10;5yN1J1+IEMIuQQWl900ipctLMugmtiEO3NW2Bn2AbSF1i30IN7WMo2guDVYcGkpsaFdSfj99GQVV&#10;lhb7w8vrzT0fsm0++3zP5jOj1ON4SJcgPA3+X/zn/tBhfgy/v4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BuZwgAAANsAAAAPAAAAAAAAAAAAAAAAAJgCAABkcnMvZG93&#10;bnJldi54bWxQSwUGAAAAAAQABAD1AAAAhwMAAAAA&#10;" fillcolor="#9bbb59" strokecolor="#f2f2f2" strokeweight="3pt">
                  <v:shadow on="t" color="#4e6128" opacity=".5" offset="1pt"/>
                  <v:textbox>
                    <w:txbxContent>
                      <w:p w:rsidR="00A43097" w:rsidRDefault="00A43097" w:rsidP="00A43097">
                        <w:pPr>
                          <w:spacing w:line="360" w:lineRule="auto"/>
                          <w:jc w:val="center"/>
                          <w:rPr>
                            <w:b/>
                            <w:u w:val="single"/>
                          </w:rPr>
                        </w:pPr>
                        <w:r>
                          <w:rPr>
                            <w:b/>
                            <w:u w:val="single"/>
                          </w:rPr>
                          <w:t>Alkohol</w:t>
                        </w:r>
                      </w:p>
                      <w:p w:rsidR="00A43097" w:rsidRDefault="00A43097" w:rsidP="00A43097">
                        <w:r>
                          <w:t>Metanol</w:t>
                        </w:r>
                      </w:p>
                      <w:p w:rsidR="00A43097" w:rsidRDefault="00A43097" w:rsidP="00A43097">
                        <w:r>
                          <w:t>Etanol</w:t>
                        </w:r>
                      </w:p>
                    </w:txbxContent>
                  </v:textbox>
                </v:shape>
                <w10:anchorlock/>
              </v:group>
            </w:pict>
          </mc:Fallback>
        </mc:AlternateContent>
      </w:r>
    </w:p>
    <w:p w:rsidR="00A43097" w:rsidRDefault="00A43097" w:rsidP="00BF3FB9">
      <w:pPr>
        <w:rPr>
          <w:rFonts w:ascii="Verdana" w:hAnsi="Verdana"/>
        </w:rPr>
      </w:pPr>
    </w:p>
    <w:p w:rsidR="00667EF1" w:rsidRPr="00300F3C" w:rsidRDefault="00667EF1" w:rsidP="00667EF1">
      <w:pPr>
        <w:jc w:val="both"/>
        <w:rPr>
          <w:rFonts w:ascii="Verdana" w:hAnsi="Verdana" w:cs="Tahoma"/>
          <w:szCs w:val="20"/>
        </w:rPr>
      </w:pPr>
      <w:r>
        <w:rPr>
          <w:rFonts w:ascii="Verdana" w:hAnsi="Verdana"/>
        </w:rPr>
        <w:t xml:space="preserve">V tejto časti sa opisuje proces výroby bionafty z rastlinných olejov, pri ktorom sa triglyceridový olej počas reakcie s jednosýtnym alkoholom rozštiepi na alkyl (bionaftu) a glycerín. Glycerínová fáza sa následne oddelí od bionafty (esterová fáza) a vyčistí sa. Výrobné procesy obsahujú rovnaké kroky bez ohľadu na rozsah výroby, aj keď jednotlivé zariadenia sa môžu významne odlišovať. </w:t>
      </w:r>
    </w:p>
    <w:p w:rsidR="00667EF1" w:rsidRPr="00E016F1" w:rsidRDefault="00667EF1" w:rsidP="00667EF1">
      <w:pPr>
        <w:jc w:val="both"/>
        <w:rPr>
          <w:rFonts w:ascii="Verdana" w:hAnsi="Verdana" w:cs="Tahoma"/>
          <w:i/>
          <w:szCs w:val="20"/>
        </w:rPr>
      </w:pPr>
    </w:p>
    <w:p w:rsidR="00667EF1" w:rsidRPr="00300F3C" w:rsidRDefault="00CF3131" w:rsidP="00DD7B4B">
      <w:pPr>
        <w:pStyle w:val="Heading2"/>
        <w:tabs>
          <w:tab w:val="clear" w:pos="709"/>
          <w:tab w:val="num" w:pos="697"/>
        </w:tabs>
        <w:rPr>
          <w:rFonts w:ascii="Verdana" w:hAnsi="Verdana"/>
        </w:rPr>
      </w:pPr>
      <w:bookmarkStart w:id="3" w:name="_Toc438220116"/>
      <w:r>
        <w:rPr>
          <w:rFonts w:ascii="Verdana" w:hAnsi="Verdana"/>
        </w:rPr>
        <w:t>Príjem rastlinného oleja</w:t>
      </w:r>
      <w:bookmarkEnd w:id="3"/>
      <w:r>
        <w:rPr>
          <w:rFonts w:ascii="Verdana" w:hAnsi="Verdana"/>
        </w:rPr>
        <w:t xml:space="preserve"> </w:t>
      </w:r>
    </w:p>
    <w:p w:rsidR="00667EF1" w:rsidRPr="00300F3C" w:rsidRDefault="00667EF1" w:rsidP="005A4B4A">
      <w:pPr>
        <w:pStyle w:val="Heading2"/>
        <w:numPr>
          <w:ilvl w:val="0"/>
          <w:numId w:val="0"/>
        </w:numPr>
        <w:ind w:left="578"/>
        <w:rPr>
          <w:rFonts w:ascii="Verdana" w:hAnsi="Verdana"/>
        </w:rPr>
      </w:pPr>
    </w:p>
    <w:p w:rsidR="00A246EB" w:rsidRDefault="00A246EB" w:rsidP="00A246EB">
      <w:pPr>
        <w:jc w:val="both"/>
        <w:rPr>
          <w:rFonts w:ascii="Verdana" w:hAnsi="Verdana" w:cs="Tahoma"/>
          <w:szCs w:val="20"/>
        </w:rPr>
      </w:pPr>
      <w:r>
        <w:rPr>
          <w:rFonts w:ascii="Verdana" w:hAnsi="Verdana"/>
        </w:rPr>
        <w:t>Rastlinné oleje dodávané do závodov na výrobu bionafty sú čiastočne rafinované rastlinné oleje. Pred dodaním (podľa referenčného odvetvového dokumentu FEDIOL-u)</w:t>
      </w:r>
      <w:r>
        <w:rPr>
          <w:rStyle w:val="FootnoteReference"/>
          <w:rFonts w:ascii="Verdana" w:hAnsi="Verdana"/>
        </w:rPr>
        <w:footnoteReference w:id="1"/>
      </w:r>
      <w:r>
        <w:rPr>
          <w:rFonts w:ascii="Verdana" w:hAnsi="Verdana"/>
        </w:rPr>
        <w:t xml:space="preserve"> prechádzajú rastlinné oleje radom rafinérskych krokov na odstránenie rozličných nečistôt, ako sú fosfatidy (fosfolipidy), voľné mastné kyseliny, vosky, tokoferoly alebo farbivá, ktoré by mohli brániť reakcii v procese výroby bionafty. </w:t>
      </w:r>
    </w:p>
    <w:p w:rsidR="00E63462" w:rsidRDefault="00E63462" w:rsidP="00A246EB">
      <w:pPr>
        <w:jc w:val="both"/>
        <w:rPr>
          <w:rFonts w:ascii="Verdana" w:hAnsi="Verdana" w:cs="Tahoma"/>
          <w:szCs w:val="20"/>
        </w:rPr>
      </w:pPr>
    </w:p>
    <w:p w:rsidR="00E63462" w:rsidRPr="00300F3C" w:rsidRDefault="00E63462" w:rsidP="00E63462">
      <w:pPr>
        <w:jc w:val="both"/>
        <w:rPr>
          <w:rFonts w:ascii="Verdana" w:hAnsi="Verdana" w:cs="Tahoma"/>
          <w:szCs w:val="20"/>
        </w:rPr>
      </w:pPr>
      <w:r>
        <w:rPr>
          <w:rFonts w:ascii="Verdana" w:hAnsi="Verdana"/>
        </w:rPr>
        <w:t>Väčšina, ak nie všetky východiskové suroviny prechádzajú nejakou formou predbežnej úpravy na zníženie obsahu nečistôt alebo voľných mastných kyselín pred použitím na výrobu bionafty.</w:t>
      </w:r>
    </w:p>
    <w:p w:rsidR="00A246EB" w:rsidRDefault="00A246EB" w:rsidP="00577B51">
      <w:pPr>
        <w:jc w:val="both"/>
        <w:rPr>
          <w:rFonts w:ascii="Verdana" w:hAnsi="Verdana" w:cs="Tahoma"/>
          <w:szCs w:val="20"/>
        </w:rPr>
      </w:pPr>
    </w:p>
    <w:p w:rsidR="003F6B44" w:rsidRDefault="004D7AD3" w:rsidP="00577B51">
      <w:pPr>
        <w:jc w:val="both"/>
        <w:rPr>
          <w:rFonts w:ascii="Verdana" w:hAnsi="Verdana" w:cs="Tahoma"/>
          <w:szCs w:val="20"/>
        </w:rPr>
      </w:pPr>
      <w:r>
        <w:rPr>
          <w:rFonts w:ascii="Verdana" w:hAnsi="Verdana"/>
        </w:rPr>
        <w:t xml:space="preserve">Pri dodaní sa čiastočne rafinované rastlinné oleje rozdelia do zásobníkov na predbežné spracovanie. Vstupný materiál sa posúdi z hľadiska bezpečnosti a kvality. </w:t>
      </w:r>
    </w:p>
    <w:p w:rsidR="003F6B44" w:rsidRDefault="003F6B44" w:rsidP="00577B51">
      <w:pPr>
        <w:jc w:val="both"/>
        <w:rPr>
          <w:rFonts w:ascii="Verdana" w:hAnsi="Verdana" w:cs="Tahoma"/>
          <w:szCs w:val="20"/>
        </w:rPr>
      </w:pPr>
    </w:p>
    <w:p w:rsidR="00120930" w:rsidRPr="00300F3C" w:rsidRDefault="00BE6EF6" w:rsidP="00577B51">
      <w:pPr>
        <w:jc w:val="both"/>
        <w:rPr>
          <w:rFonts w:ascii="Verdana" w:hAnsi="Verdana" w:cs="Tahoma"/>
          <w:szCs w:val="20"/>
        </w:rPr>
      </w:pPr>
      <w:r>
        <w:rPr>
          <w:rFonts w:ascii="Verdana" w:hAnsi="Verdana"/>
        </w:rPr>
        <w:t xml:space="preserve">Kľúčovými parametrami na dosiahnutie vysokej efektívnosti konverzie pri transesteriﬁkačnej reakcii sú obsah voľných mastných kyselín, vody a nezmydelniteľných látok. Výsledné parametre olejov budú mať vplyv na množstvo suroviny, pomer alkoholu a katalyzátora v procese transesterifikácie. </w:t>
      </w:r>
    </w:p>
    <w:p w:rsidR="00BE3A6D" w:rsidRPr="00300F3C" w:rsidRDefault="00BE3A6D" w:rsidP="001D2477">
      <w:pPr>
        <w:autoSpaceDE w:val="0"/>
        <w:autoSpaceDN w:val="0"/>
        <w:adjustRightInd w:val="0"/>
        <w:jc w:val="both"/>
        <w:rPr>
          <w:rFonts w:ascii="Verdana" w:hAnsi="Verdana"/>
        </w:rPr>
      </w:pPr>
    </w:p>
    <w:p w:rsidR="003E62F2" w:rsidRPr="00300F3C" w:rsidRDefault="001D2477" w:rsidP="00DD7B4B">
      <w:pPr>
        <w:pStyle w:val="Heading2"/>
        <w:tabs>
          <w:tab w:val="clear" w:pos="709"/>
          <w:tab w:val="num" w:pos="697"/>
        </w:tabs>
        <w:rPr>
          <w:rFonts w:ascii="Verdana" w:hAnsi="Verdana"/>
        </w:rPr>
      </w:pPr>
      <w:bookmarkStart w:id="4" w:name="_Toc438220117"/>
      <w:r>
        <w:rPr>
          <w:rFonts w:ascii="Verdana" w:hAnsi="Verdana"/>
        </w:rPr>
        <w:t>Chemická reakcia/transesterifikácia:</w:t>
      </w:r>
      <w:bookmarkEnd w:id="4"/>
      <w:r>
        <w:rPr>
          <w:rFonts w:ascii="Verdana" w:hAnsi="Verdana"/>
        </w:rPr>
        <w:t xml:space="preserve"> </w:t>
      </w:r>
    </w:p>
    <w:p w:rsidR="001D60DA" w:rsidRPr="00300F3C" w:rsidRDefault="001D60DA" w:rsidP="001D60DA">
      <w:pPr>
        <w:autoSpaceDE w:val="0"/>
        <w:autoSpaceDN w:val="0"/>
        <w:adjustRightInd w:val="0"/>
        <w:jc w:val="both"/>
        <w:rPr>
          <w:rFonts w:ascii="Verdana" w:hAnsi="Verdana" w:cs="Tahoma"/>
          <w:sz w:val="22"/>
          <w:szCs w:val="22"/>
        </w:rPr>
      </w:pPr>
    </w:p>
    <w:p w:rsidR="00DA6FF0" w:rsidRPr="00B25DCF" w:rsidRDefault="003E62F2" w:rsidP="00B444D8">
      <w:pPr>
        <w:autoSpaceDE w:val="0"/>
        <w:autoSpaceDN w:val="0"/>
        <w:adjustRightInd w:val="0"/>
        <w:jc w:val="both"/>
        <w:rPr>
          <w:rFonts w:ascii="Verdana" w:hAnsi="Verdana" w:cs="Tahoma"/>
          <w:szCs w:val="20"/>
        </w:rPr>
      </w:pPr>
      <w:r>
        <w:rPr>
          <w:rFonts w:ascii="Verdana" w:hAnsi="Verdana"/>
        </w:rPr>
        <w:t xml:space="preserve">Účelom chemickej reakcie je premena frakcie voľných mastných kyselín východiskovej suroviny na bionaftu. Ak je obsah voľných mastných kyselín vysoký, chemická reakcia zvyčajne prebieha v dvoch krokoch: esterifikácia a transesterifikácia. </w:t>
      </w:r>
    </w:p>
    <w:p w:rsidR="00DA6FF0" w:rsidRPr="00B25DCF" w:rsidRDefault="00DA6FF0" w:rsidP="00B444D8">
      <w:pPr>
        <w:autoSpaceDE w:val="0"/>
        <w:autoSpaceDN w:val="0"/>
        <w:adjustRightInd w:val="0"/>
        <w:jc w:val="both"/>
        <w:rPr>
          <w:rFonts w:ascii="Verdana" w:hAnsi="Verdana" w:cs="Tahoma"/>
          <w:szCs w:val="20"/>
        </w:rPr>
      </w:pPr>
    </w:p>
    <w:p w:rsidR="00665768" w:rsidRDefault="00CB7710" w:rsidP="001D2477">
      <w:pPr>
        <w:autoSpaceDE w:val="0"/>
        <w:autoSpaceDN w:val="0"/>
        <w:adjustRightInd w:val="0"/>
        <w:jc w:val="both"/>
        <w:rPr>
          <w:rFonts w:ascii="Verdana" w:hAnsi="Verdana"/>
        </w:rPr>
      </w:pPr>
      <w:r>
        <w:rPr>
          <w:rFonts w:ascii="Verdana" w:hAnsi="Verdana"/>
        </w:rPr>
        <w:t xml:space="preserve">Po analýze predbežného spracovania vstupného rastlinného oleja sa alkohol zmieša s katalyzátorom a zmes sa privedie do reaktora, do ktorého sa pridá rastlinný olej </w:t>
      </w:r>
      <w:r>
        <w:rPr>
          <w:rFonts w:ascii="Verdana" w:hAnsi="Verdana"/>
        </w:rPr>
        <w:lastRenderedPageBreak/>
        <w:t xml:space="preserve">(obrázok č. 1 Vývojový diagram). Tento stupeň je známy ako esterifikácia a predstavuje predbežnú úpravu pred transesterifikáciou, ktorou sa znižuje obsah voľných mastných kyselín v oleji. </w:t>
      </w:r>
    </w:p>
    <w:p w:rsidR="001D2477" w:rsidRDefault="001D2477" w:rsidP="001D2477">
      <w:pPr>
        <w:autoSpaceDE w:val="0"/>
        <w:autoSpaceDN w:val="0"/>
        <w:adjustRightInd w:val="0"/>
        <w:jc w:val="both"/>
        <w:rPr>
          <w:rFonts w:ascii="Verdana" w:hAnsi="Verdana"/>
        </w:rPr>
      </w:pPr>
      <w:r>
        <w:rPr>
          <w:rFonts w:ascii="Verdana" w:hAnsi="Verdana"/>
        </w:rPr>
        <w:t xml:space="preserve">Celý proces transesterifikácie je chránený pred prístupom vzduchu, aby sa zabránilo strate alkoholu. Prebytočný alkohol sa zvyčajne používa na zabezpečenie úplnej premeny oleja na jeho estery. </w:t>
      </w:r>
    </w:p>
    <w:p w:rsidR="005A6305" w:rsidRPr="00E016F1" w:rsidRDefault="005A6305" w:rsidP="009A2CDE">
      <w:pPr>
        <w:jc w:val="both"/>
        <w:rPr>
          <w:rFonts w:ascii="Verdana" w:hAnsi="Verdana" w:cs="Tahoma"/>
          <w:szCs w:val="20"/>
        </w:rPr>
      </w:pPr>
    </w:p>
    <w:p w:rsidR="00436063" w:rsidRPr="00300F3C" w:rsidRDefault="005A6305" w:rsidP="00DD7B4B">
      <w:pPr>
        <w:pStyle w:val="Heading2"/>
        <w:tabs>
          <w:tab w:val="clear" w:pos="709"/>
          <w:tab w:val="num" w:pos="697"/>
        </w:tabs>
        <w:rPr>
          <w:rFonts w:ascii="Verdana" w:hAnsi="Verdana"/>
        </w:rPr>
      </w:pPr>
      <w:bookmarkStart w:id="5" w:name="_Toc438220118"/>
      <w:r>
        <w:rPr>
          <w:rFonts w:ascii="Verdana" w:hAnsi="Verdana"/>
        </w:rPr>
        <w:t>Oddeľovanie</w:t>
      </w:r>
      <w:bookmarkEnd w:id="5"/>
    </w:p>
    <w:p w:rsidR="00436063" w:rsidRPr="00300F3C" w:rsidRDefault="00436063" w:rsidP="005A6305">
      <w:pPr>
        <w:autoSpaceDE w:val="0"/>
        <w:autoSpaceDN w:val="0"/>
        <w:adjustRightInd w:val="0"/>
        <w:jc w:val="both"/>
        <w:rPr>
          <w:rFonts w:ascii="Verdana" w:hAnsi="Verdana"/>
          <w:i/>
          <w:iCs/>
        </w:rPr>
      </w:pPr>
    </w:p>
    <w:p w:rsidR="005A6305" w:rsidRPr="00300F3C" w:rsidRDefault="005A6305" w:rsidP="005A6305">
      <w:pPr>
        <w:autoSpaceDE w:val="0"/>
        <w:autoSpaceDN w:val="0"/>
        <w:adjustRightInd w:val="0"/>
        <w:jc w:val="both"/>
        <w:rPr>
          <w:rFonts w:ascii="Verdana" w:hAnsi="Verdana"/>
        </w:rPr>
      </w:pPr>
      <w:r>
        <w:rPr>
          <w:rFonts w:ascii="Verdana" w:hAnsi="Verdana"/>
        </w:rPr>
        <w:t>Po skončení reakcie sú prítomné dva hlavné produkty: glycerín a bionafta. Každý z nich obsahuje značné množstvo prebytočného metanolu, ktorý bol použitý pri reakcii. V prípade potreby sa zreagovaná zmes v tomto kroku niekedy neutralizuje. Glycerínová fáza je omnoho hustejšia než bionafta a tieto dve fázy možno oddeliť pomocou gravitácie, keď sa glycerín jednoducho stočí zo spodnej časti sedimentačnej nádoby. V niektorých prípadoch sa na rýchlejšie oddelenie týchto dvoch materiálov používa odstredivý separátor.</w:t>
      </w:r>
    </w:p>
    <w:p w:rsidR="008F2137" w:rsidRPr="00300F3C" w:rsidRDefault="008F2137" w:rsidP="005A6305">
      <w:pPr>
        <w:autoSpaceDE w:val="0"/>
        <w:autoSpaceDN w:val="0"/>
        <w:adjustRightInd w:val="0"/>
        <w:jc w:val="both"/>
        <w:rPr>
          <w:rFonts w:ascii="Verdana" w:hAnsi="Verdana"/>
        </w:rPr>
      </w:pPr>
    </w:p>
    <w:p w:rsidR="008F2137" w:rsidRPr="00300F3C" w:rsidRDefault="008F2137" w:rsidP="00DD7B4B">
      <w:pPr>
        <w:pStyle w:val="Heading2"/>
        <w:tabs>
          <w:tab w:val="clear" w:pos="709"/>
          <w:tab w:val="num" w:pos="697"/>
        </w:tabs>
        <w:rPr>
          <w:rFonts w:ascii="Verdana" w:hAnsi="Verdana"/>
        </w:rPr>
      </w:pPr>
      <w:bookmarkStart w:id="6" w:name="_Toc438220119"/>
      <w:r>
        <w:rPr>
          <w:rFonts w:ascii="Verdana" w:hAnsi="Verdana"/>
        </w:rPr>
        <w:t>Acidulácia a oddelenie voľných mastných kyselín</w:t>
      </w:r>
      <w:bookmarkEnd w:id="6"/>
    </w:p>
    <w:p w:rsidR="00436063" w:rsidRPr="00300F3C" w:rsidRDefault="00436063" w:rsidP="005A6305">
      <w:pPr>
        <w:autoSpaceDE w:val="0"/>
        <w:autoSpaceDN w:val="0"/>
        <w:adjustRightInd w:val="0"/>
        <w:jc w:val="both"/>
        <w:rPr>
          <w:rFonts w:ascii="Verdana" w:hAnsi="Verdana"/>
          <w:u w:val="single"/>
        </w:rPr>
      </w:pPr>
    </w:p>
    <w:p w:rsidR="00725858" w:rsidRDefault="00436063" w:rsidP="005A6305">
      <w:pPr>
        <w:autoSpaceDE w:val="0"/>
        <w:autoSpaceDN w:val="0"/>
        <w:adjustRightInd w:val="0"/>
        <w:jc w:val="both"/>
        <w:rPr>
          <w:rFonts w:ascii="Verdana" w:hAnsi="Verdana"/>
        </w:rPr>
      </w:pPr>
      <w:r>
        <w:rPr>
          <w:rFonts w:ascii="Verdana" w:hAnsi="Verdana"/>
        </w:rPr>
        <w:t xml:space="preserve">Glycerín po oddelení zvyčajne obsahuje 50 % glycerínu, 40 % metanolu a 10 % mydla a katalyzátora. Katalyzátor sa neutralizuje a mydlá sa rozštiepia na mastné kyseliny a soli. Voľné mastné kyseliny a metanol sa odstránia a regenerujú. </w:t>
      </w:r>
    </w:p>
    <w:p w:rsidR="00815334" w:rsidRPr="00300F3C" w:rsidRDefault="00815334" w:rsidP="005A6305">
      <w:pPr>
        <w:autoSpaceDE w:val="0"/>
        <w:autoSpaceDN w:val="0"/>
        <w:adjustRightInd w:val="0"/>
        <w:jc w:val="both"/>
        <w:rPr>
          <w:rFonts w:ascii="Verdana" w:hAnsi="Verdana"/>
          <w:bCs/>
          <w:u w:val="single"/>
        </w:rPr>
      </w:pPr>
    </w:p>
    <w:p w:rsidR="003E62F2" w:rsidRPr="00300F3C" w:rsidRDefault="005A6305" w:rsidP="00DD7B4B">
      <w:pPr>
        <w:pStyle w:val="Heading2"/>
        <w:tabs>
          <w:tab w:val="clear" w:pos="709"/>
          <w:tab w:val="num" w:pos="697"/>
        </w:tabs>
        <w:rPr>
          <w:rFonts w:ascii="Verdana" w:hAnsi="Verdana"/>
          <w:i/>
        </w:rPr>
      </w:pPr>
      <w:bookmarkStart w:id="7" w:name="_Toc438220120"/>
      <w:r>
        <w:rPr>
          <w:rFonts w:ascii="Verdana" w:hAnsi="Verdana"/>
        </w:rPr>
        <w:t>Neutralizácia glycerínu</w:t>
      </w:r>
      <w:bookmarkEnd w:id="7"/>
      <w:r>
        <w:rPr>
          <w:rFonts w:ascii="Verdana" w:hAnsi="Verdana"/>
        </w:rPr>
        <w:t xml:space="preserve"> </w:t>
      </w:r>
    </w:p>
    <w:p w:rsidR="003E62F2" w:rsidRPr="00300F3C" w:rsidRDefault="003E62F2" w:rsidP="005A6305">
      <w:pPr>
        <w:autoSpaceDE w:val="0"/>
        <w:autoSpaceDN w:val="0"/>
        <w:adjustRightInd w:val="0"/>
        <w:jc w:val="both"/>
        <w:rPr>
          <w:rFonts w:ascii="Verdana" w:hAnsi="Verdana"/>
          <w:i/>
          <w:iCs/>
        </w:rPr>
      </w:pPr>
    </w:p>
    <w:p w:rsidR="005A6305" w:rsidRPr="00815334" w:rsidRDefault="005A6305" w:rsidP="005A6305">
      <w:pPr>
        <w:autoSpaceDE w:val="0"/>
        <w:autoSpaceDN w:val="0"/>
        <w:adjustRightInd w:val="0"/>
        <w:jc w:val="both"/>
        <w:rPr>
          <w:rFonts w:ascii="Verdana" w:hAnsi="Verdana"/>
        </w:rPr>
      </w:pPr>
      <w:r>
        <w:rPr>
          <w:rFonts w:ascii="Verdana" w:hAnsi="Verdana"/>
        </w:rPr>
        <w:t xml:space="preserve">Glycerín ako vedľajší produkt obsahuje nepoužitý katalyzátor a mydlá, ktoré sa neutralizujú kyselinou, a výsledný surový glycerín sa odvedie na uskladnenie. V niektorých prípadoch sa soľ vytvorená v tejto fáze spätne získava na použitie ako hnojivo. Vo väčšine prípadov sa soľ ponechá v glyceríne. Voda a alkohol sa odstránia, čím vznikne približne 80 % čistý glycerín, ktorý je pripravený na predaj ako surový neutralizovaný glycerín. </w:t>
      </w:r>
    </w:p>
    <w:p w:rsidR="00815334" w:rsidRPr="002153BA" w:rsidRDefault="00815334" w:rsidP="005A6305">
      <w:pPr>
        <w:autoSpaceDE w:val="0"/>
        <w:autoSpaceDN w:val="0"/>
        <w:adjustRightInd w:val="0"/>
        <w:jc w:val="both"/>
        <w:rPr>
          <w:rFonts w:ascii="Verdana" w:hAnsi="Verdana"/>
        </w:rPr>
      </w:pPr>
      <w:bookmarkStart w:id="8" w:name="_GoBack"/>
      <w:bookmarkEnd w:id="8"/>
    </w:p>
    <w:p w:rsidR="00815334" w:rsidRPr="00300F3C" w:rsidRDefault="00DA6FF0" w:rsidP="005A6305">
      <w:pPr>
        <w:autoSpaceDE w:val="0"/>
        <w:autoSpaceDN w:val="0"/>
        <w:adjustRightInd w:val="0"/>
        <w:jc w:val="both"/>
        <w:rPr>
          <w:rFonts w:ascii="Verdana" w:hAnsi="Verdana"/>
        </w:rPr>
      </w:pPr>
      <w:r>
        <w:rPr>
          <w:rFonts w:ascii="Verdana" w:hAnsi="Verdana"/>
        </w:rPr>
        <w:t>Rafinovaný glycerín: Surový glycerín možno v niektorých prípadoch ďalej rafinovať na dosiahnutie farmaceutickej alebo technickej akostnej triedy alebo krmivárskej akostnej triedy odstránením vody a solí destiláciou.</w:t>
      </w:r>
    </w:p>
    <w:p w:rsidR="005A6305" w:rsidRPr="00300F3C" w:rsidRDefault="005A6305" w:rsidP="005A6305">
      <w:pPr>
        <w:autoSpaceDE w:val="0"/>
        <w:autoSpaceDN w:val="0"/>
        <w:adjustRightInd w:val="0"/>
        <w:jc w:val="both"/>
        <w:rPr>
          <w:rFonts w:ascii="Verdana" w:hAnsi="Verdana"/>
        </w:rPr>
      </w:pPr>
    </w:p>
    <w:p w:rsidR="00F8756D" w:rsidRPr="00392641" w:rsidRDefault="005A6305" w:rsidP="00DD7B4B">
      <w:pPr>
        <w:pStyle w:val="Heading2"/>
        <w:tabs>
          <w:tab w:val="clear" w:pos="709"/>
          <w:tab w:val="num" w:pos="697"/>
        </w:tabs>
        <w:rPr>
          <w:rFonts w:ascii="Verdana" w:hAnsi="Verdana"/>
        </w:rPr>
      </w:pPr>
      <w:bookmarkStart w:id="9" w:name="_Toc438220121"/>
      <w:r>
        <w:rPr>
          <w:rFonts w:ascii="Verdana" w:hAnsi="Verdana"/>
        </w:rPr>
        <w:t>Vymývanie metylesterov</w:t>
      </w:r>
      <w:bookmarkEnd w:id="9"/>
    </w:p>
    <w:p w:rsidR="00F8756D" w:rsidRPr="00300F3C" w:rsidRDefault="00F8756D" w:rsidP="005A6305">
      <w:pPr>
        <w:autoSpaceDE w:val="0"/>
        <w:autoSpaceDN w:val="0"/>
        <w:adjustRightInd w:val="0"/>
        <w:jc w:val="both"/>
        <w:rPr>
          <w:rFonts w:ascii="Verdana" w:hAnsi="Verdana"/>
        </w:rPr>
      </w:pPr>
    </w:p>
    <w:p w:rsidR="00CF3131" w:rsidRDefault="005A6305" w:rsidP="005A6305">
      <w:pPr>
        <w:autoSpaceDE w:val="0"/>
        <w:autoSpaceDN w:val="0"/>
        <w:adjustRightInd w:val="0"/>
        <w:jc w:val="both"/>
        <w:rPr>
          <w:rFonts w:ascii="Verdana" w:hAnsi="Verdana"/>
        </w:rPr>
      </w:pPr>
      <w:r>
        <w:rPr>
          <w:rFonts w:ascii="Verdana" w:hAnsi="Verdana"/>
        </w:rPr>
        <w:t xml:space="preserve">Bionafta sa po oddelení od glycerínu niekedy purifikuje jemným premývaním teplou vodou na odstránenie zvyškov katalyzátora alebo mydiel, následne sa presuší a uskladní. V niektorých procesoch tento krok nie je potrebný. V niektorých systémoch sa bionafta destiluje. Tento krok je voliteľný a zvyšuje sa ním čistota bionafty. </w:t>
      </w:r>
    </w:p>
    <w:p w:rsidR="00D562AC" w:rsidRPr="00300F3C" w:rsidRDefault="00D562AC" w:rsidP="005A6305">
      <w:pPr>
        <w:autoSpaceDE w:val="0"/>
        <w:autoSpaceDN w:val="0"/>
        <w:adjustRightInd w:val="0"/>
        <w:jc w:val="both"/>
        <w:rPr>
          <w:rFonts w:ascii="Verdana" w:hAnsi="Verdana"/>
        </w:rPr>
      </w:pPr>
    </w:p>
    <w:p w:rsidR="00CF3131" w:rsidRPr="00300F3C" w:rsidRDefault="00CF3131" w:rsidP="00DD7B4B">
      <w:pPr>
        <w:pStyle w:val="Heading2"/>
        <w:tabs>
          <w:tab w:val="clear" w:pos="709"/>
          <w:tab w:val="num" w:pos="697"/>
        </w:tabs>
        <w:rPr>
          <w:rFonts w:ascii="Verdana" w:hAnsi="Verdana"/>
        </w:rPr>
      </w:pPr>
      <w:bookmarkStart w:id="10" w:name="_Toc438220122"/>
      <w:r>
        <w:rPr>
          <w:rFonts w:ascii="Verdana" w:hAnsi="Verdana"/>
        </w:rPr>
        <w:t>Skladovanie</w:t>
      </w:r>
      <w:bookmarkEnd w:id="10"/>
    </w:p>
    <w:p w:rsidR="00CF3131" w:rsidRPr="00300F3C" w:rsidRDefault="00CF3131" w:rsidP="005A6305">
      <w:pPr>
        <w:autoSpaceDE w:val="0"/>
        <w:autoSpaceDN w:val="0"/>
        <w:adjustRightInd w:val="0"/>
        <w:jc w:val="both"/>
        <w:rPr>
          <w:rFonts w:ascii="Verdana" w:hAnsi="Verdana"/>
        </w:rPr>
      </w:pPr>
    </w:p>
    <w:p w:rsidR="00F8756D" w:rsidRPr="00300F3C" w:rsidRDefault="00F8756D" w:rsidP="005A6305">
      <w:pPr>
        <w:autoSpaceDE w:val="0"/>
        <w:autoSpaceDN w:val="0"/>
        <w:adjustRightInd w:val="0"/>
        <w:jc w:val="both"/>
        <w:rPr>
          <w:rFonts w:ascii="Verdana" w:hAnsi="Verdana"/>
        </w:rPr>
      </w:pPr>
      <w:r>
        <w:rPr>
          <w:rFonts w:ascii="Verdana" w:hAnsi="Verdana"/>
        </w:rPr>
        <w:t>Glycerín sa skladuje vo vhodných zásobníkoch.</w:t>
      </w:r>
    </w:p>
    <w:p w:rsidR="00F8756D" w:rsidRPr="00300F3C" w:rsidRDefault="00F8756D" w:rsidP="005A6305">
      <w:pPr>
        <w:autoSpaceDE w:val="0"/>
        <w:autoSpaceDN w:val="0"/>
        <w:adjustRightInd w:val="0"/>
        <w:jc w:val="both"/>
        <w:rPr>
          <w:rFonts w:ascii="Verdana" w:hAnsi="Verdana"/>
        </w:rPr>
      </w:pPr>
    </w:p>
    <w:p w:rsidR="00CF3131" w:rsidRPr="00300F3C" w:rsidRDefault="00CF3131" w:rsidP="00DD7B4B">
      <w:pPr>
        <w:pStyle w:val="Heading2"/>
        <w:tabs>
          <w:tab w:val="clear" w:pos="709"/>
          <w:tab w:val="num" w:pos="697"/>
        </w:tabs>
        <w:rPr>
          <w:rFonts w:ascii="Verdana" w:hAnsi="Verdana"/>
        </w:rPr>
      </w:pPr>
      <w:bookmarkStart w:id="11" w:name="_Toc438220123"/>
      <w:r>
        <w:rPr>
          <w:rFonts w:ascii="Verdana" w:hAnsi="Verdana"/>
        </w:rPr>
        <w:t>Preprava</w:t>
      </w:r>
      <w:bookmarkEnd w:id="11"/>
    </w:p>
    <w:p w:rsidR="00490C74" w:rsidRPr="00300F3C" w:rsidRDefault="00490C74" w:rsidP="00F8756D">
      <w:pPr>
        <w:autoSpaceDE w:val="0"/>
        <w:autoSpaceDN w:val="0"/>
        <w:adjustRightInd w:val="0"/>
        <w:jc w:val="both"/>
        <w:rPr>
          <w:rFonts w:ascii="Verdana" w:hAnsi="Verdana" w:cs="Tahoma"/>
          <w:szCs w:val="20"/>
        </w:rPr>
      </w:pPr>
    </w:p>
    <w:p w:rsidR="00B87D01" w:rsidRPr="00B87D01" w:rsidRDefault="00490C74" w:rsidP="00B87D01">
      <w:pPr>
        <w:autoSpaceDE w:val="0"/>
        <w:autoSpaceDN w:val="0"/>
        <w:adjustRightInd w:val="0"/>
        <w:jc w:val="both"/>
        <w:rPr>
          <w:rFonts w:ascii="Verdana" w:hAnsi="Verdana" w:cs="Tahoma"/>
          <w:b/>
          <w:color w:val="4F81BD"/>
          <w:szCs w:val="20"/>
        </w:rPr>
      </w:pPr>
      <w:r>
        <w:rPr>
          <w:rFonts w:ascii="Verdana" w:hAnsi="Verdana"/>
        </w:rPr>
        <w:t xml:space="preserve">Spracovaný vedľajší produkt glycerín sa musí prepraviť. Preprava vedľajšieho produktu musí byť v súlade s právnymi predpismi EÚ a vnútroštátnymi právnymi predpismi, existujúcimi kódexmi prepravy, požiadavkami zákazníkov a požiadavkami tohto </w:t>
      </w:r>
      <w:r>
        <w:rPr>
          <w:rFonts w:ascii="Verdana" w:hAnsi="Verdana"/>
        </w:rPr>
        <w:lastRenderedPageBreak/>
        <w:t>„Referenčného odvetvového dokumentu o výrobe bezpečných kŕmnych surovín zo spracovania bionafty“.</w:t>
      </w:r>
      <w:r>
        <w:rPr>
          <w:rFonts w:ascii="Verdana" w:hAnsi="Verdana"/>
          <w:b/>
        </w:rPr>
        <w:t xml:space="preserve"> </w:t>
      </w:r>
    </w:p>
    <w:p w:rsidR="008F2137" w:rsidRPr="00300F3C" w:rsidRDefault="008F2137" w:rsidP="00DD7B4B">
      <w:pPr>
        <w:pStyle w:val="Heading1"/>
        <w:numPr>
          <w:ilvl w:val="0"/>
          <w:numId w:val="28"/>
        </w:numPr>
        <w:tabs>
          <w:tab w:val="clear" w:pos="432"/>
          <w:tab w:val="num" w:pos="420"/>
        </w:tabs>
        <w:rPr>
          <w:rFonts w:ascii="Verdana" w:hAnsi="Verdana"/>
        </w:rPr>
      </w:pPr>
      <w:bookmarkStart w:id="12" w:name="_Toc438220124"/>
      <w:r>
        <w:rPr>
          <w:rFonts w:ascii="Verdana" w:hAnsi="Verdana"/>
        </w:rPr>
        <w:t>Vývojový diagram výrobného procesu bionafty</w:t>
      </w:r>
      <w:bookmarkEnd w:id="12"/>
    </w:p>
    <w:p w:rsidR="008F2137" w:rsidRPr="00300F3C" w:rsidRDefault="008F2137" w:rsidP="008F2137">
      <w:pPr>
        <w:jc w:val="both"/>
        <w:rPr>
          <w:rFonts w:ascii="Verdana" w:hAnsi="Verdana" w:cs="Tahoma"/>
        </w:rPr>
      </w:pPr>
    </w:p>
    <w:p w:rsidR="00453723" w:rsidRDefault="00545727" w:rsidP="00453723">
      <w:pPr>
        <w:jc w:val="both"/>
        <w:rPr>
          <w:rFonts w:ascii="Verdana" w:hAnsi="Verdana" w:cs="Tahoma"/>
        </w:rPr>
      </w:pPr>
      <w:r>
        <w:rPr>
          <w:rFonts w:ascii="Verdana" w:hAnsi="Verdana"/>
        </w:rPr>
        <w:t>Tento diagram obsahuje veľmi všeobecný opis výrobného procesu bionafty.</w:t>
      </w:r>
    </w:p>
    <w:p w:rsidR="007B1792" w:rsidRDefault="007B1792" w:rsidP="00453723">
      <w:pPr>
        <w:jc w:val="both"/>
        <w:rPr>
          <w:rFonts w:ascii="Verdana" w:hAnsi="Verdana" w:cs="Tahoma"/>
        </w:rPr>
      </w:pPr>
    </w:p>
    <w:p w:rsidR="007B1792" w:rsidRPr="00300F3C" w:rsidRDefault="007B1792" w:rsidP="00453723">
      <w:pPr>
        <w:jc w:val="both"/>
        <w:rPr>
          <w:rFonts w:ascii="Verdana" w:hAnsi="Verdana" w:cs="Tahoma"/>
        </w:rPr>
      </w:pPr>
    </w:p>
    <w:p w:rsidR="009E27A2" w:rsidRPr="00300F3C" w:rsidRDefault="00E4332E" w:rsidP="007B1792">
      <w:pPr>
        <w:tabs>
          <w:tab w:val="left" w:pos="7980"/>
        </w:tabs>
        <w:ind w:hanging="567"/>
        <w:jc w:val="both"/>
        <w:rPr>
          <w:rFonts w:ascii="Verdana" w:hAnsi="Verdana" w:cs="Tahoma"/>
          <w:szCs w:val="20"/>
        </w:rPr>
      </w:pPr>
      <w:r w:rsidRPr="00E4332E">
        <w:drawing>
          <wp:inline distT="0" distB="0" distL="0" distR="0" wp14:anchorId="3A1DBF99" wp14:editId="224C2E52">
            <wp:extent cx="6597062" cy="47720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00180" cy="4774281"/>
                    </a:xfrm>
                    <a:prstGeom prst="rect">
                      <a:avLst/>
                    </a:prstGeom>
                    <a:noFill/>
                    <a:ln>
                      <a:noFill/>
                    </a:ln>
                  </pic:spPr>
                </pic:pic>
              </a:graphicData>
            </a:graphic>
          </wp:inline>
        </w:drawing>
      </w:r>
    </w:p>
    <w:p w:rsidR="00BF3FB9" w:rsidRPr="00300F3C" w:rsidRDefault="00BF3FB9" w:rsidP="009E27A2">
      <w:pPr>
        <w:tabs>
          <w:tab w:val="left" w:pos="7980"/>
        </w:tabs>
        <w:jc w:val="both"/>
        <w:rPr>
          <w:rFonts w:ascii="Verdana" w:hAnsi="Verdana" w:cs="Tahoma"/>
          <w:szCs w:val="20"/>
        </w:rPr>
      </w:pPr>
    </w:p>
    <w:p w:rsidR="00BF3FB9" w:rsidRPr="00300F3C" w:rsidRDefault="00BF3FB9" w:rsidP="007B1792">
      <w:pPr>
        <w:tabs>
          <w:tab w:val="left" w:pos="7980"/>
        </w:tabs>
        <w:jc w:val="center"/>
        <w:rPr>
          <w:rFonts w:ascii="Verdana" w:hAnsi="Verdana" w:cs="Tahoma"/>
          <w:szCs w:val="20"/>
        </w:rPr>
      </w:pPr>
    </w:p>
    <w:p w:rsidR="00BF3FB9" w:rsidRPr="00300F3C" w:rsidRDefault="00BF3FB9" w:rsidP="009E27A2">
      <w:pPr>
        <w:tabs>
          <w:tab w:val="left" w:pos="7980"/>
        </w:tabs>
        <w:jc w:val="both"/>
        <w:rPr>
          <w:rFonts w:ascii="Verdana" w:hAnsi="Verdana" w:cs="Tahoma"/>
          <w:szCs w:val="20"/>
        </w:rPr>
      </w:pPr>
    </w:p>
    <w:p w:rsidR="00BF3FB9" w:rsidRPr="00300F3C" w:rsidRDefault="00BF3FB9" w:rsidP="009E27A2">
      <w:pPr>
        <w:tabs>
          <w:tab w:val="left" w:pos="7980"/>
        </w:tabs>
        <w:jc w:val="both"/>
        <w:rPr>
          <w:rFonts w:ascii="Verdana" w:hAnsi="Verdana" w:cs="Tahoma"/>
          <w:szCs w:val="20"/>
        </w:rPr>
      </w:pPr>
    </w:p>
    <w:p w:rsidR="00BF3FB9" w:rsidRPr="00300F3C" w:rsidRDefault="00BF3FB9" w:rsidP="009E27A2">
      <w:pPr>
        <w:tabs>
          <w:tab w:val="left" w:pos="7980"/>
        </w:tabs>
        <w:jc w:val="both"/>
        <w:rPr>
          <w:rFonts w:ascii="Verdana" w:hAnsi="Verdana" w:cs="Tahoma"/>
          <w:szCs w:val="20"/>
        </w:rPr>
      </w:pPr>
    </w:p>
    <w:p w:rsidR="00BF3FB9" w:rsidRPr="00300F3C" w:rsidRDefault="00BF3FB9" w:rsidP="009E27A2">
      <w:pPr>
        <w:tabs>
          <w:tab w:val="left" w:pos="7980"/>
        </w:tabs>
        <w:jc w:val="both"/>
        <w:rPr>
          <w:rFonts w:ascii="Verdana" w:hAnsi="Verdana" w:cs="Tahoma"/>
          <w:szCs w:val="20"/>
        </w:rPr>
      </w:pPr>
    </w:p>
    <w:p w:rsidR="00BF3FB9" w:rsidRPr="00300F3C" w:rsidRDefault="00BF3FB9" w:rsidP="009E27A2">
      <w:pPr>
        <w:tabs>
          <w:tab w:val="left" w:pos="7980"/>
        </w:tabs>
        <w:jc w:val="both"/>
        <w:rPr>
          <w:rFonts w:ascii="Verdana" w:hAnsi="Verdana" w:cs="Tahoma"/>
          <w:szCs w:val="20"/>
        </w:rPr>
      </w:pPr>
    </w:p>
    <w:p w:rsidR="00BF3FB9" w:rsidRPr="00300F3C" w:rsidRDefault="00BF3FB9" w:rsidP="009E27A2">
      <w:pPr>
        <w:tabs>
          <w:tab w:val="left" w:pos="7980"/>
        </w:tabs>
        <w:jc w:val="both"/>
        <w:rPr>
          <w:rFonts w:ascii="Verdana" w:hAnsi="Verdana" w:cs="Tahoma"/>
          <w:szCs w:val="20"/>
        </w:rPr>
      </w:pPr>
    </w:p>
    <w:p w:rsidR="00BF3FB9" w:rsidRPr="00300F3C" w:rsidRDefault="00BF3FB9" w:rsidP="009E27A2">
      <w:pPr>
        <w:tabs>
          <w:tab w:val="left" w:pos="7980"/>
        </w:tabs>
        <w:jc w:val="both"/>
        <w:rPr>
          <w:rFonts w:ascii="Verdana" w:hAnsi="Verdana" w:cs="Tahoma"/>
          <w:szCs w:val="20"/>
        </w:rPr>
      </w:pPr>
    </w:p>
    <w:p w:rsidR="00BF3FB9" w:rsidRPr="00300F3C" w:rsidRDefault="00BF3FB9" w:rsidP="009E27A2">
      <w:pPr>
        <w:tabs>
          <w:tab w:val="left" w:pos="7980"/>
        </w:tabs>
        <w:jc w:val="both"/>
        <w:rPr>
          <w:rFonts w:ascii="Verdana" w:hAnsi="Verdana" w:cs="Tahoma"/>
          <w:szCs w:val="20"/>
        </w:rPr>
      </w:pPr>
    </w:p>
    <w:p w:rsidR="00BF3FB9" w:rsidRPr="00300F3C" w:rsidRDefault="00BF3FB9" w:rsidP="009E27A2">
      <w:pPr>
        <w:tabs>
          <w:tab w:val="left" w:pos="7980"/>
        </w:tabs>
        <w:jc w:val="both"/>
        <w:rPr>
          <w:rFonts w:ascii="Verdana" w:hAnsi="Verdana" w:cs="Tahoma"/>
          <w:szCs w:val="20"/>
        </w:rPr>
      </w:pPr>
    </w:p>
    <w:p w:rsidR="00133433" w:rsidRDefault="00133433">
      <w:pPr>
        <w:rPr>
          <w:rFonts w:ascii="Verdana" w:hAnsi="Verdana" w:cs="Tahoma"/>
          <w:szCs w:val="20"/>
        </w:rPr>
      </w:pPr>
      <w:r>
        <w:br w:type="page"/>
      </w:r>
    </w:p>
    <w:p w:rsidR="002C35C6" w:rsidRPr="00300F3C" w:rsidRDefault="00FE1541" w:rsidP="002C35C6">
      <w:pPr>
        <w:pStyle w:val="Heading1"/>
        <w:jc w:val="both"/>
        <w:rPr>
          <w:rFonts w:ascii="Verdana" w:hAnsi="Verdana" w:cs="Tahoma"/>
        </w:rPr>
      </w:pPr>
      <w:bookmarkStart w:id="13" w:name="_Toc438220125"/>
      <w:r>
        <w:rPr>
          <w:rFonts w:ascii="Verdana" w:hAnsi="Verdana"/>
        </w:rPr>
        <w:lastRenderedPageBreak/>
        <w:t>Posúdenie rizík</w:t>
      </w:r>
      <w:bookmarkEnd w:id="13"/>
      <w:r>
        <w:rPr>
          <w:rFonts w:ascii="Verdana" w:hAnsi="Verdana"/>
        </w:rPr>
        <w:t xml:space="preserve"> </w:t>
      </w:r>
    </w:p>
    <w:p w:rsidR="002E52C2" w:rsidRPr="00E016F1" w:rsidRDefault="002E52C2" w:rsidP="002E52C2">
      <w:pPr>
        <w:rPr>
          <w:rFonts w:ascii="Verdana" w:hAnsi="Verdana"/>
        </w:rPr>
      </w:pPr>
    </w:p>
    <w:p w:rsidR="00B631D4" w:rsidRPr="00300F3C" w:rsidRDefault="00CC0085" w:rsidP="00DD7B4B">
      <w:pPr>
        <w:pStyle w:val="Heading2"/>
        <w:tabs>
          <w:tab w:val="clear" w:pos="709"/>
          <w:tab w:val="num" w:pos="697"/>
        </w:tabs>
        <w:rPr>
          <w:rFonts w:ascii="Verdana" w:hAnsi="Verdana"/>
        </w:rPr>
      </w:pPr>
      <w:bookmarkStart w:id="14" w:name="_Toc438220126"/>
      <w:r>
        <w:rPr>
          <w:rFonts w:ascii="Verdana" w:hAnsi="Verdana"/>
        </w:rPr>
        <w:t>EBB podrobila posúdeniu rizík, ktoré ohrozujú bezpečnosť krmivového reťazca, tieto vstupné materiály</w:t>
      </w:r>
      <w:bookmarkEnd w:id="14"/>
    </w:p>
    <w:p w:rsidR="00D10ECC" w:rsidRPr="00300F3C" w:rsidRDefault="00D10ECC" w:rsidP="00D10ECC">
      <w:pPr>
        <w:rPr>
          <w:rFonts w:ascii="Verdana" w:hAnsi="Verdana"/>
        </w:rPr>
      </w:pPr>
    </w:p>
    <w:p w:rsidR="00CC0085" w:rsidRPr="00300F3C" w:rsidRDefault="0044051E" w:rsidP="0044051E">
      <w:pPr>
        <w:rPr>
          <w:rFonts w:ascii="Verdana" w:hAnsi="Verdana"/>
        </w:rPr>
      </w:pPr>
      <w:r>
        <w:rPr>
          <w:rFonts w:ascii="Verdana" w:hAnsi="Verdana"/>
        </w:rPr>
        <w:t xml:space="preserve">Surovina: rastlinné oleje </w:t>
      </w:r>
    </w:p>
    <w:p w:rsidR="00CB1F06" w:rsidRPr="00300F3C" w:rsidRDefault="00DD7B4B" w:rsidP="00DD7B4B">
      <w:pPr>
        <w:pStyle w:val="NormalWeb"/>
        <w:jc w:val="both"/>
        <w:rPr>
          <w:rFonts w:ascii="Verdana" w:hAnsi="Verdana"/>
          <w:color w:val="auto"/>
        </w:rPr>
      </w:pPr>
      <w:r>
        <w:rPr>
          <w:rFonts w:ascii="Verdana" w:hAnsi="Verdana"/>
          <w:color w:val="auto"/>
        </w:rPr>
        <w:t xml:space="preserve">Výrobné miesta bionafty musia vo všetkých prípadoch spĺňať požiadavky týkajúce sa posudzovania rizík. Tabuľka nebezpečenstiev je uvedená v </w:t>
      </w:r>
      <w:hyperlink r:id="rId18" w:anchor="appendix1">
        <w:r>
          <w:rPr>
            <w:rStyle w:val="Hyperlink"/>
            <w:rFonts w:ascii="Verdana" w:hAnsi="Verdana"/>
            <w:color w:val="auto"/>
            <w:u w:val="none"/>
          </w:rPr>
          <w:t>dodatku 1</w:t>
        </w:r>
      </w:hyperlink>
      <w:r>
        <w:t xml:space="preserve">, jednotlivci by si však mali uvedomiť, že tento zoznam </w:t>
      </w:r>
      <w:r>
        <w:rPr>
          <w:rStyle w:val="Strong"/>
          <w:rFonts w:ascii="Verdana" w:hAnsi="Verdana"/>
          <w:b w:val="0"/>
          <w:color w:val="auto"/>
        </w:rPr>
        <w:t>nie</w:t>
      </w:r>
      <w:r>
        <w:rPr>
          <w:rFonts w:ascii="Verdana" w:hAnsi="Verdana"/>
          <w:color w:val="auto"/>
        </w:rPr>
        <w:t xml:space="preserve"> je vyčerpávajúci a prevádzkovatelia by mali vykonať vlastné posúdenie rizík. Ďalšie informácie o konkrétnych nebezpečenstvách a kontrolných opatreniach sa nachádzajú v príslušných publikáciách HSE a nariadeniach ES v tabuľkách posudzovania rizík.</w:t>
      </w:r>
    </w:p>
    <w:p w:rsidR="00E016F1" w:rsidRPr="007C09D3" w:rsidRDefault="00E016F1" w:rsidP="00E0569C">
      <w:pPr>
        <w:pStyle w:val="Heading2"/>
      </w:pPr>
      <w:bookmarkStart w:id="15" w:name="_Toc438220127"/>
      <w:r>
        <w:t>Zhrnutie prístupu založeného na rizikách pre odvetvie bionafty</w:t>
      </w:r>
      <w:bookmarkEnd w:id="15"/>
    </w:p>
    <w:p w:rsidR="00E016F1" w:rsidRPr="007C09D3" w:rsidRDefault="00E016F1" w:rsidP="00E016F1">
      <w:pPr>
        <w:jc w:val="both"/>
        <w:rPr>
          <w:rFonts w:ascii="Verdana" w:hAnsi="Verdana"/>
          <w:szCs w:val="20"/>
        </w:rPr>
      </w:pPr>
    </w:p>
    <w:p w:rsidR="00E016F1" w:rsidRPr="007C09D3" w:rsidRDefault="00E016F1" w:rsidP="00E016F1">
      <w:pPr>
        <w:jc w:val="both"/>
        <w:rPr>
          <w:rFonts w:ascii="Verdana" w:hAnsi="Verdana"/>
          <w:szCs w:val="20"/>
        </w:rPr>
      </w:pPr>
      <w:r>
        <w:rPr>
          <w:rFonts w:ascii="Verdana" w:hAnsi="Verdana"/>
        </w:rPr>
        <w:t>Prevádzkovateľ by mal pri zostavovaní zoznamu potenciálnych nebezpečenstiev náležite zohľadniť:</w:t>
      </w:r>
    </w:p>
    <w:p w:rsidR="00E016F1" w:rsidRPr="007C09D3" w:rsidRDefault="00E016F1" w:rsidP="00E016F1">
      <w:pPr>
        <w:jc w:val="both"/>
        <w:rPr>
          <w:rFonts w:ascii="Verdana" w:hAnsi="Verdana"/>
          <w:szCs w:val="20"/>
        </w:rPr>
      </w:pPr>
    </w:p>
    <w:p w:rsidR="00E016F1" w:rsidRPr="007C09D3" w:rsidRDefault="00E016F1" w:rsidP="001C3A68">
      <w:pPr>
        <w:numPr>
          <w:ilvl w:val="0"/>
          <w:numId w:val="39"/>
        </w:numPr>
        <w:jc w:val="both"/>
        <w:rPr>
          <w:rFonts w:ascii="Verdana" w:hAnsi="Verdana"/>
          <w:szCs w:val="20"/>
        </w:rPr>
      </w:pPr>
      <w:r>
        <w:rPr>
          <w:rFonts w:ascii="Verdana" w:hAnsi="Verdana"/>
        </w:rPr>
        <w:t xml:space="preserve">smernicu o nežiaducich látkach v krmivách (2002/32/ES), </w:t>
      </w:r>
    </w:p>
    <w:p w:rsidR="00E016F1" w:rsidRPr="007C09D3" w:rsidRDefault="00E016F1" w:rsidP="001C3A68">
      <w:pPr>
        <w:numPr>
          <w:ilvl w:val="0"/>
          <w:numId w:val="39"/>
        </w:numPr>
        <w:autoSpaceDE w:val="0"/>
        <w:autoSpaceDN w:val="0"/>
        <w:adjustRightInd w:val="0"/>
        <w:spacing w:before="80" w:after="80"/>
        <w:jc w:val="both"/>
        <w:rPr>
          <w:rFonts w:ascii="Verdana" w:hAnsi="Verdana"/>
          <w:szCs w:val="20"/>
        </w:rPr>
      </w:pPr>
      <w:r>
        <w:rPr>
          <w:rFonts w:ascii="Verdana" w:hAnsi="Verdana"/>
        </w:rPr>
        <w:t>nariadenie o geneticky modifikovaných potravinách a krmivách [(ES) č. 1829/2003],</w:t>
      </w:r>
    </w:p>
    <w:p w:rsidR="00E016F1" w:rsidRPr="007C09D3" w:rsidRDefault="00E016F1" w:rsidP="001C3A68">
      <w:pPr>
        <w:numPr>
          <w:ilvl w:val="0"/>
          <w:numId w:val="39"/>
        </w:numPr>
        <w:autoSpaceDE w:val="0"/>
        <w:autoSpaceDN w:val="0"/>
        <w:adjustRightInd w:val="0"/>
        <w:spacing w:before="80" w:after="80"/>
        <w:jc w:val="both"/>
        <w:rPr>
          <w:rFonts w:ascii="Verdana" w:hAnsi="Verdana" w:cs="Arial"/>
          <w:szCs w:val="20"/>
        </w:rPr>
      </w:pPr>
      <w:r>
        <w:rPr>
          <w:rFonts w:ascii="Verdana" w:hAnsi="Verdana"/>
        </w:rPr>
        <w:t>nariadenie o uvádzaní krmív na trh [(ES) č. 767/2009],</w:t>
      </w:r>
    </w:p>
    <w:p w:rsidR="00842911" w:rsidRDefault="00E016F1" w:rsidP="001C3A68">
      <w:pPr>
        <w:numPr>
          <w:ilvl w:val="0"/>
          <w:numId w:val="39"/>
        </w:numPr>
        <w:autoSpaceDE w:val="0"/>
        <w:autoSpaceDN w:val="0"/>
        <w:adjustRightInd w:val="0"/>
        <w:spacing w:before="80" w:after="80"/>
        <w:jc w:val="both"/>
        <w:rPr>
          <w:rFonts w:ascii="Verdana" w:hAnsi="Verdana"/>
          <w:szCs w:val="20"/>
        </w:rPr>
      </w:pPr>
      <w:r>
        <w:rPr>
          <w:rFonts w:ascii="Verdana" w:hAnsi="Verdana"/>
        </w:rPr>
        <w:t>nariadenie o maximálnych hladinách rezíduí pesticídov v alebo na potravinách a krmivách rastlinného a živočíšneho pôvodu [(ES) č. 396/2005],</w:t>
      </w:r>
    </w:p>
    <w:p w:rsidR="00842911" w:rsidRPr="00842911" w:rsidRDefault="00842911" w:rsidP="001C3A68">
      <w:pPr>
        <w:numPr>
          <w:ilvl w:val="0"/>
          <w:numId w:val="39"/>
        </w:numPr>
        <w:autoSpaceDE w:val="0"/>
        <w:autoSpaceDN w:val="0"/>
        <w:adjustRightInd w:val="0"/>
        <w:spacing w:before="80" w:after="80"/>
        <w:jc w:val="both"/>
        <w:rPr>
          <w:rFonts w:ascii="Verdana" w:hAnsi="Verdana"/>
          <w:szCs w:val="20"/>
        </w:rPr>
      </w:pPr>
      <w:r>
        <w:rPr>
          <w:rFonts w:ascii="Verdana" w:hAnsi="Verdana"/>
        </w:rPr>
        <w:t>nariadenie o Katalógu kŕmnych surovín [(EÚ) č. 68/2013],</w:t>
      </w:r>
    </w:p>
    <w:p w:rsidR="005C6B94" w:rsidRPr="005C6B94" w:rsidRDefault="005C6B94" w:rsidP="001C3A68">
      <w:pPr>
        <w:numPr>
          <w:ilvl w:val="0"/>
          <w:numId w:val="39"/>
        </w:numPr>
        <w:autoSpaceDE w:val="0"/>
        <w:autoSpaceDN w:val="0"/>
        <w:adjustRightInd w:val="0"/>
        <w:spacing w:before="80" w:after="80"/>
        <w:jc w:val="both"/>
        <w:rPr>
          <w:rFonts w:ascii="Verdana" w:hAnsi="Verdana"/>
          <w:szCs w:val="20"/>
        </w:rPr>
      </w:pPr>
      <w:r>
        <w:rPr>
          <w:rFonts w:ascii="Verdana" w:hAnsi="Verdana"/>
        </w:rPr>
        <w:t>nariadenie, pokiaľ ide o schvaľovanie prevádzok, ktoré uvádzajú produkty získané z rastlinných olejov a zo zmesových tukov na použitie v krmivách na trh, a pokiaľ ide o osobitné požiadavky na výrobu, skladovanie, prepravu olejov, tukov a z nich získaných produktov a na ich testovanie na dioxíny [(EÚ) č. 225/2012].</w:t>
      </w:r>
    </w:p>
    <w:p w:rsidR="00E016F1" w:rsidRPr="00E67C19" w:rsidRDefault="00E016F1" w:rsidP="00E016F1">
      <w:pPr>
        <w:jc w:val="both"/>
        <w:rPr>
          <w:rFonts w:ascii="Verdana" w:hAnsi="Verdana"/>
          <w:szCs w:val="20"/>
        </w:rPr>
      </w:pPr>
    </w:p>
    <w:p w:rsidR="00E016F1" w:rsidRPr="00E67C19" w:rsidRDefault="00E016F1" w:rsidP="00E016F1">
      <w:pPr>
        <w:jc w:val="both"/>
        <w:rPr>
          <w:rFonts w:ascii="Verdana" w:hAnsi="Verdana"/>
          <w:szCs w:val="20"/>
        </w:rPr>
      </w:pPr>
      <w:r>
        <w:rPr>
          <w:rFonts w:ascii="Verdana" w:hAnsi="Verdana"/>
        </w:rPr>
        <w:t>Ďalej uvádzaný zoznam príkladov nie je vyčerpávajúci a mal by sa podľa okolností upraviť.</w:t>
      </w:r>
    </w:p>
    <w:p w:rsidR="00E016F1" w:rsidRPr="00E67C19" w:rsidRDefault="00E016F1" w:rsidP="00E016F1">
      <w:pPr>
        <w:rPr>
          <w:rFonts w:ascii="Verdana" w:hAnsi="Verdana"/>
          <w:szCs w:val="20"/>
        </w:rPr>
      </w:pPr>
    </w:p>
    <w:p w:rsidR="00E016F1" w:rsidRPr="00E67C19" w:rsidRDefault="00E016F1" w:rsidP="00E016F1">
      <w:pPr>
        <w:rPr>
          <w:rFonts w:ascii="Verdana" w:hAnsi="Verdana"/>
          <w:b/>
          <w:bCs/>
          <w:iCs/>
          <w:szCs w:val="20"/>
        </w:rPr>
      </w:pPr>
      <w:r>
        <w:rPr>
          <w:rFonts w:ascii="Verdana" w:hAnsi="Verdana"/>
          <w:b/>
        </w:rPr>
        <w:t>Biologické nebezpečenstvá</w:t>
      </w:r>
    </w:p>
    <w:p w:rsidR="00E016F1" w:rsidRPr="00E67C19" w:rsidRDefault="00E016F1" w:rsidP="00E016F1">
      <w:pPr>
        <w:rPr>
          <w:rFonts w:ascii="Verdana" w:hAnsi="Verdana"/>
          <w:szCs w:val="20"/>
        </w:rPr>
      </w:pPr>
    </w:p>
    <w:p w:rsidR="00E016F1" w:rsidRPr="00E67C19" w:rsidRDefault="00E016F1" w:rsidP="001C3A68">
      <w:pPr>
        <w:numPr>
          <w:ilvl w:val="0"/>
          <w:numId w:val="40"/>
        </w:numPr>
        <w:jc w:val="both"/>
        <w:rPr>
          <w:rFonts w:ascii="Verdana" w:hAnsi="Verdana"/>
          <w:szCs w:val="20"/>
        </w:rPr>
      </w:pPr>
      <w:r>
        <w:rPr>
          <w:rFonts w:ascii="Verdana" w:hAnsi="Verdana"/>
        </w:rPr>
        <w:t>Relevantné vegetatívne patogény podľa nariadenia o hygiene krmív a podľa súvisiacich mikrobiologických kritérií</w:t>
      </w:r>
    </w:p>
    <w:p w:rsidR="00E016F1" w:rsidRPr="00E67C19" w:rsidRDefault="00E016F1" w:rsidP="00E016F1">
      <w:pPr>
        <w:ind w:left="360"/>
        <w:jc w:val="both"/>
        <w:rPr>
          <w:rFonts w:ascii="Verdana" w:hAnsi="Verdana"/>
          <w:szCs w:val="20"/>
        </w:rPr>
      </w:pPr>
    </w:p>
    <w:p w:rsidR="00E016F1" w:rsidRPr="00E67C19" w:rsidRDefault="00E016F1" w:rsidP="00E016F1">
      <w:pPr>
        <w:rPr>
          <w:rFonts w:ascii="Verdana" w:hAnsi="Verdana"/>
          <w:b/>
          <w:bCs/>
          <w:iCs/>
          <w:szCs w:val="20"/>
        </w:rPr>
      </w:pPr>
      <w:r>
        <w:rPr>
          <w:rFonts w:ascii="Verdana" w:hAnsi="Verdana"/>
          <w:b/>
        </w:rPr>
        <w:t>Potenciálne chemické nebezpečenstvá</w:t>
      </w:r>
    </w:p>
    <w:p w:rsidR="00E016F1" w:rsidRPr="00E67C19" w:rsidRDefault="00E016F1" w:rsidP="001C3A68">
      <w:pPr>
        <w:numPr>
          <w:ilvl w:val="0"/>
          <w:numId w:val="41"/>
        </w:numPr>
        <w:spacing w:before="120"/>
        <w:jc w:val="both"/>
        <w:rPr>
          <w:rFonts w:ascii="Verdana" w:hAnsi="Verdana"/>
          <w:szCs w:val="20"/>
        </w:rPr>
      </w:pPr>
      <w:r>
        <w:rPr>
          <w:rFonts w:ascii="Verdana" w:hAnsi="Verdana"/>
        </w:rPr>
        <w:t xml:space="preserve">Chemikálie použité v procese výroby, technologické pomocné látky a antioxidanty </w:t>
      </w:r>
    </w:p>
    <w:p w:rsidR="00E016F1" w:rsidRPr="00E67C19" w:rsidRDefault="00E016F1" w:rsidP="001C3A68">
      <w:pPr>
        <w:numPr>
          <w:ilvl w:val="0"/>
          <w:numId w:val="41"/>
        </w:numPr>
        <w:spacing w:before="120"/>
        <w:rPr>
          <w:rFonts w:ascii="Verdana" w:hAnsi="Verdana"/>
          <w:szCs w:val="20"/>
        </w:rPr>
      </w:pPr>
      <w:r>
        <w:rPr>
          <w:rFonts w:ascii="Verdana" w:hAnsi="Verdana"/>
        </w:rPr>
        <w:t>Mykotoxíny</w:t>
      </w:r>
    </w:p>
    <w:p w:rsidR="00E016F1" w:rsidRPr="00E67C19" w:rsidRDefault="00E016F1" w:rsidP="001C3A68">
      <w:pPr>
        <w:numPr>
          <w:ilvl w:val="0"/>
          <w:numId w:val="41"/>
        </w:numPr>
        <w:spacing w:before="120"/>
        <w:rPr>
          <w:rFonts w:ascii="Verdana" w:hAnsi="Verdana"/>
          <w:szCs w:val="20"/>
        </w:rPr>
      </w:pPr>
      <w:r>
        <w:rPr>
          <w:rFonts w:ascii="Verdana" w:hAnsi="Verdana"/>
        </w:rPr>
        <w:t>Ťažké kovy</w:t>
      </w:r>
    </w:p>
    <w:p w:rsidR="00E016F1" w:rsidRPr="00E67C19" w:rsidRDefault="00E016F1" w:rsidP="001C3A68">
      <w:pPr>
        <w:numPr>
          <w:ilvl w:val="0"/>
          <w:numId w:val="41"/>
        </w:numPr>
        <w:spacing w:before="120"/>
        <w:rPr>
          <w:rFonts w:ascii="Verdana" w:hAnsi="Verdana"/>
          <w:szCs w:val="20"/>
        </w:rPr>
      </w:pPr>
      <w:r>
        <w:rPr>
          <w:rFonts w:ascii="Verdana" w:hAnsi="Verdana"/>
        </w:rPr>
        <w:t>Rezíduá pesticídov</w:t>
      </w:r>
    </w:p>
    <w:p w:rsidR="00E016F1" w:rsidRPr="00E67C19" w:rsidRDefault="00E016F1" w:rsidP="001C3A68">
      <w:pPr>
        <w:numPr>
          <w:ilvl w:val="0"/>
          <w:numId w:val="41"/>
        </w:numPr>
        <w:spacing w:before="120"/>
        <w:rPr>
          <w:rFonts w:ascii="Verdana" w:hAnsi="Verdana"/>
          <w:szCs w:val="20"/>
        </w:rPr>
      </w:pPr>
      <w:r>
        <w:rPr>
          <w:rFonts w:ascii="Verdana" w:hAnsi="Verdana"/>
        </w:rPr>
        <w:t>PCB, dioxíny</w:t>
      </w:r>
    </w:p>
    <w:p w:rsidR="00E016F1" w:rsidRPr="00E67C19" w:rsidRDefault="00E016F1" w:rsidP="001C3A68">
      <w:pPr>
        <w:numPr>
          <w:ilvl w:val="0"/>
          <w:numId w:val="41"/>
        </w:numPr>
        <w:spacing w:before="120"/>
        <w:rPr>
          <w:rFonts w:ascii="Verdana" w:hAnsi="Verdana"/>
          <w:szCs w:val="20"/>
        </w:rPr>
      </w:pPr>
      <w:r>
        <w:rPr>
          <w:rFonts w:ascii="Verdana" w:hAnsi="Verdana"/>
        </w:rPr>
        <w:t xml:space="preserve">Polycyklické aromatické uhľovodíky (PAU) </w:t>
      </w:r>
    </w:p>
    <w:p w:rsidR="00E016F1" w:rsidRPr="005C6B94" w:rsidRDefault="00FC7C00" w:rsidP="001C3A68">
      <w:pPr>
        <w:numPr>
          <w:ilvl w:val="0"/>
          <w:numId w:val="41"/>
        </w:numPr>
        <w:spacing w:before="120"/>
        <w:rPr>
          <w:rFonts w:ascii="Verdana" w:hAnsi="Verdana"/>
          <w:szCs w:val="20"/>
        </w:rPr>
      </w:pPr>
      <w:r>
        <w:rPr>
          <w:rFonts w:ascii="Verdana" w:hAnsi="Verdana"/>
        </w:rPr>
        <w:lastRenderedPageBreak/>
        <w:t>Mazivá (nevhodné na použitie v potravinárstve)</w:t>
      </w:r>
    </w:p>
    <w:p w:rsidR="00E016F1" w:rsidRPr="005C6B94" w:rsidRDefault="00E016F1" w:rsidP="001C3A68">
      <w:pPr>
        <w:numPr>
          <w:ilvl w:val="0"/>
          <w:numId w:val="41"/>
        </w:numPr>
        <w:spacing w:before="120"/>
        <w:rPr>
          <w:rFonts w:ascii="Verdana" w:hAnsi="Verdana"/>
          <w:szCs w:val="20"/>
        </w:rPr>
      </w:pPr>
      <w:r>
        <w:rPr>
          <w:rFonts w:ascii="Verdana" w:hAnsi="Verdana"/>
        </w:rPr>
        <w:t>Chemické látky používané na ochranu pred škodcami</w:t>
      </w:r>
    </w:p>
    <w:p w:rsidR="00E016F1" w:rsidRPr="005C6B94" w:rsidRDefault="00E016F1" w:rsidP="00E016F1">
      <w:pPr>
        <w:rPr>
          <w:rFonts w:ascii="Verdana" w:hAnsi="Verdana"/>
          <w:b/>
          <w:bCs/>
          <w:i/>
          <w:iCs/>
          <w:szCs w:val="20"/>
        </w:rPr>
      </w:pPr>
    </w:p>
    <w:p w:rsidR="00E016F1" w:rsidRDefault="00E016F1" w:rsidP="00E016F1">
      <w:pPr>
        <w:jc w:val="both"/>
        <w:rPr>
          <w:rFonts w:ascii="Verdana" w:hAnsi="Verdana"/>
          <w:bCs/>
          <w:iCs/>
          <w:szCs w:val="20"/>
        </w:rPr>
      </w:pPr>
      <w:r>
        <w:rPr>
          <w:rFonts w:ascii="Verdana" w:hAnsi="Verdana"/>
        </w:rPr>
        <w:t>V analýze nebezpečenstiev vypracovanej prevádzkovateľom je zahrnuté použitie technologických pomocných látok v súlade s požiadavkami uvedenými v oddiele 6 príručky.</w:t>
      </w:r>
    </w:p>
    <w:p w:rsidR="00E016F1" w:rsidRDefault="00E016F1" w:rsidP="00E016F1">
      <w:pPr>
        <w:jc w:val="both"/>
        <w:rPr>
          <w:rFonts w:ascii="Verdana" w:hAnsi="Verdana"/>
          <w:bCs/>
          <w:iCs/>
          <w:szCs w:val="20"/>
        </w:rPr>
      </w:pPr>
    </w:p>
    <w:p w:rsidR="00E016F1" w:rsidRPr="00300F3C" w:rsidRDefault="00E016F1" w:rsidP="00E016F1">
      <w:pPr>
        <w:jc w:val="both"/>
        <w:rPr>
          <w:rFonts w:ascii="Verdana" w:hAnsi="Verdana"/>
          <w:bCs/>
          <w:iCs/>
          <w:szCs w:val="20"/>
        </w:rPr>
      </w:pPr>
    </w:p>
    <w:p w:rsidR="00E016F1" w:rsidRPr="00300F3C" w:rsidRDefault="00E016F1" w:rsidP="00E016F1">
      <w:pPr>
        <w:rPr>
          <w:rFonts w:ascii="Verdana" w:hAnsi="Verdana"/>
          <w:b/>
          <w:bCs/>
          <w:iCs/>
          <w:szCs w:val="20"/>
        </w:rPr>
      </w:pPr>
      <w:r>
        <w:rPr>
          <w:rFonts w:ascii="Verdana" w:hAnsi="Verdana"/>
          <w:b/>
          <w:i/>
        </w:rPr>
        <w:t xml:space="preserve"> </w:t>
      </w:r>
      <w:r>
        <w:rPr>
          <w:rFonts w:ascii="Verdana" w:hAnsi="Verdana"/>
          <w:b/>
        </w:rPr>
        <w:t>Nebezpečenstvá fyzikálnej kontaminácie</w:t>
      </w:r>
    </w:p>
    <w:p w:rsidR="00E016F1" w:rsidRPr="00300F3C" w:rsidRDefault="005C6B94" w:rsidP="001C3A68">
      <w:pPr>
        <w:numPr>
          <w:ilvl w:val="0"/>
          <w:numId w:val="42"/>
        </w:numPr>
        <w:spacing w:before="120"/>
        <w:rPr>
          <w:rFonts w:ascii="Verdana" w:hAnsi="Verdana"/>
          <w:szCs w:val="20"/>
        </w:rPr>
      </w:pPr>
      <w:r>
        <w:rPr>
          <w:rFonts w:ascii="Verdana" w:hAnsi="Verdana"/>
        </w:rPr>
        <w:t>Fyzikálna kontaminácia, napr. kov, sklo</w:t>
      </w:r>
    </w:p>
    <w:p w:rsidR="00E016F1" w:rsidRPr="00300F3C" w:rsidRDefault="00E016F1" w:rsidP="00E016F1">
      <w:pPr>
        <w:spacing w:before="120"/>
        <w:rPr>
          <w:rFonts w:ascii="Verdana" w:hAnsi="Verdana"/>
          <w:szCs w:val="20"/>
        </w:rPr>
      </w:pPr>
    </w:p>
    <w:p w:rsidR="00E016F1" w:rsidRPr="00300F3C" w:rsidRDefault="00E016F1" w:rsidP="00E016F1">
      <w:pPr>
        <w:spacing w:before="120"/>
        <w:rPr>
          <w:rFonts w:ascii="Verdana" w:hAnsi="Verdana"/>
          <w:b/>
          <w:szCs w:val="20"/>
        </w:rPr>
      </w:pPr>
      <w:r>
        <w:rPr>
          <w:rFonts w:ascii="Verdana" w:hAnsi="Verdana"/>
          <w:b/>
        </w:rPr>
        <w:t>Nebezpečenstvo rádioaktivity</w:t>
      </w:r>
    </w:p>
    <w:p w:rsidR="00E016F1" w:rsidRPr="00300F3C" w:rsidRDefault="00E016F1" w:rsidP="001C3A68">
      <w:pPr>
        <w:numPr>
          <w:ilvl w:val="0"/>
          <w:numId w:val="43"/>
        </w:numPr>
        <w:spacing w:before="120"/>
        <w:rPr>
          <w:rFonts w:ascii="Verdana" w:hAnsi="Verdana"/>
          <w:szCs w:val="20"/>
        </w:rPr>
      </w:pPr>
      <w:r>
        <w:rPr>
          <w:rFonts w:ascii="Verdana" w:hAnsi="Verdana"/>
        </w:rPr>
        <w:t>Rádionuklidy (po jadrovej havárii)</w:t>
      </w:r>
    </w:p>
    <w:p w:rsidR="00E016F1" w:rsidRPr="00300F3C" w:rsidRDefault="00E016F1" w:rsidP="00E016F1">
      <w:pPr>
        <w:rPr>
          <w:rFonts w:ascii="Verdana" w:hAnsi="Verdana"/>
          <w:szCs w:val="20"/>
        </w:rPr>
      </w:pPr>
    </w:p>
    <w:p w:rsidR="00E016F1" w:rsidRPr="007C09D3" w:rsidRDefault="00E016F1" w:rsidP="00E0569C">
      <w:pPr>
        <w:pStyle w:val="Heading2"/>
      </w:pPr>
      <w:bookmarkStart w:id="16" w:name="_Toc438220128"/>
      <w:r>
        <w:t>Prístup založený na rizikách pre určenie charakteru nebezpečenstiev vzťahujúcich sa na kŕmne suroviny pochádzajúce z výroby bionafty</w:t>
      </w:r>
      <w:bookmarkEnd w:id="16"/>
    </w:p>
    <w:p w:rsidR="00CB2462" w:rsidRPr="00CB2462" w:rsidRDefault="00CB2462" w:rsidP="00E016F1">
      <w:pPr>
        <w:pStyle w:val="BodyTextIndent2"/>
        <w:tabs>
          <w:tab w:val="left" w:pos="0"/>
        </w:tabs>
        <w:spacing w:line="240" w:lineRule="auto"/>
        <w:ind w:left="0" w:right="360"/>
        <w:jc w:val="both"/>
        <w:rPr>
          <w:rFonts w:cs="Tahoma"/>
          <w:szCs w:val="20"/>
          <w:u w:val="single"/>
        </w:rPr>
      </w:pPr>
    </w:p>
    <w:p w:rsidR="00E016F1" w:rsidRPr="007C09D3" w:rsidRDefault="00E016F1" w:rsidP="00E016F1">
      <w:pPr>
        <w:pStyle w:val="BodyTextIndent2"/>
        <w:tabs>
          <w:tab w:val="left" w:pos="0"/>
          <w:tab w:val="left" w:pos="9200"/>
        </w:tabs>
        <w:spacing w:line="240" w:lineRule="auto"/>
        <w:ind w:left="0" w:right="13"/>
        <w:jc w:val="both"/>
        <w:rPr>
          <w:rFonts w:ascii="Verdana" w:hAnsi="Verdana"/>
          <w:szCs w:val="20"/>
        </w:rPr>
      </w:pPr>
      <w:r>
        <w:rPr>
          <w:rFonts w:ascii="Verdana" w:hAnsi="Verdana"/>
        </w:rPr>
        <w:t>V ďalej uvedenej tabuľke sa uvádza charakter nebezpečenstiev vzťahujúcich sa na produkty, ktoré pochádzajú z výroby bionafty a ktoré sa predávajú ako kŕmne suroviny. V záujme lepšieho pochopenia tejto tabuľky s posúdením rizík pozri hlavný text EFISC kapitolu 6 Systém HACCP.</w:t>
      </w:r>
    </w:p>
    <w:p w:rsidR="00E016F1" w:rsidRPr="007C09D3" w:rsidRDefault="00E016F1" w:rsidP="00E016F1">
      <w:pPr>
        <w:jc w:val="both"/>
        <w:rPr>
          <w:rFonts w:ascii="Verdana" w:hAnsi="Verdana"/>
          <w:szCs w:val="20"/>
        </w:rPr>
      </w:pPr>
      <w:r>
        <w:rPr>
          <w:rFonts w:ascii="Verdana" w:hAnsi="Verdana"/>
        </w:rPr>
        <w:t xml:space="preserve">Výpočet týchto rizík nemožno považovať za úplný a riziká môžu byť u jednotlivých výrobcov bionafty odlišné v závislosti od ich individuálnych a konkrétnych podmienok spracovania. </w:t>
      </w:r>
    </w:p>
    <w:p w:rsidR="00E016F1" w:rsidRPr="007C09D3" w:rsidRDefault="00E016F1" w:rsidP="00E016F1">
      <w:pPr>
        <w:jc w:val="both"/>
        <w:rPr>
          <w:rFonts w:ascii="Verdana" w:hAnsi="Verdana"/>
          <w:szCs w:val="20"/>
        </w:rPr>
      </w:pPr>
    </w:p>
    <w:p w:rsidR="00E016F1" w:rsidRPr="007C09D3" w:rsidRDefault="00E016F1" w:rsidP="00E016F1">
      <w:pPr>
        <w:jc w:val="both"/>
        <w:rPr>
          <w:rFonts w:ascii="Verdana" w:hAnsi="Verdana"/>
          <w:szCs w:val="20"/>
        </w:rPr>
      </w:pPr>
      <w:r>
        <w:rPr>
          <w:rFonts w:ascii="Verdana" w:hAnsi="Verdana"/>
        </w:rPr>
        <w:t>Výrobcovia bionafty upravili riziká na úroveň zodpovedajúcu ich špecifickým prevádzkovým podmienkam.</w:t>
      </w:r>
    </w:p>
    <w:p w:rsidR="00E016F1" w:rsidRPr="007C09D3" w:rsidRDefault="00E016F1" w:rsidP="00E016F1">
      <w:pPr>
        <w:jc w:val="both"/>
        <w:rPr>
          <w:rFonts w:ascii="Verdana" w:hAnsi="Verdana"/>
          <w:szCs w:val="20"/>
        </w:rPr>
      </w:pPr>
    </w:p>
    <w:p w:rsidR="00E016F1" w:rsidRPr="007C09D3" w:rsidRDefault="00E016F1" w:rsidP="00E016F1">
      <w:pPr>
        <w:jc w:val="both"/>
        <w:rPr>
          <w:rFonts w:ascii="Verdana" w:hAnsi="Verdana"/>
          <w:szCs w:val="20"/>
        </w:rPr>
      </w:pPr>
    </w:p>
    <w:p w:rsidR="00E016F1" w:rsidRPr="007C09D3" w:rsidRDefault="00E016F1" w:rsidP="00E016F1">
      <w:pPr>
        <w:spacing w:before="120"/>
        <w:jc w:val="both"/>
        <w:rPr>
          <w:rFonts w:ascii="Verdana" w:hAnsi="Verdana"/>
          <w:szCs w:val="20"/>
        </w:rPr>
      </w:pPr>
      <w:r>
        <w:rPr>
          <w:rFonts w:ascii="Verdana" w:hAnsi="Verdana"/>
        </w:rPr>
        <w:t xml:space="preserve">Posudzovali sa tri kategórie nebezpečenstiev: </w:t>
      </w:r>
    </w:p>
    <w:p w:rsidR="00E016F1" w:rsidRPr="001C3A68" w:rsidRDefault="00E016F1" w:rsidP="001C3A68">
      <w:pPr>
        <w:pStyle w:val="ListParagraph"/>
        <w:numPr>
          <w:ilvl w:val="0"/>
          <w:numId w:val="44"/>
        </w:numPr>
        <w:spacing w:before="120"/>
        <w:jc w:val="both"/>
        <w:rPr>
          <w:rFonts w:ascii="Verdana" w:hAnsi="Verdana"/>
          <w:szCs w:val="20"/>
        </w:rPr>
      </w:pPr>
      <w:r>
        <w:rPr>
          <w:rFonts w:ascii="Verdana" w:hAnsi="Verdana"/>
        </w:rPr>
        <w:t>biologické nebezpečenstvá,</w:t>
      </w:r>
    </w:p>
    <w:p w:rsidR="00E016F1" w:rsidRPr="001C3A68" w:rsidRDefault="00E016F1" w:rsidP="001C3A68">
      <w:pPr>
        <w:pStyle w:val="ListParagraph"/>
        <w:numPr>
          <w:ilvl w:val="0"/>
          <w:numId w:val="44"/>
        </w:numPr>
        <w:spacing w:before="120"/>
        <w:jc w:val="both"/>
        <w:rPr>
          <w:rFonts w:ascii="Verdana" w:hAnsi="Verdana"/>
          <w:szCs w:val="20"/>
        </w:rPr>
      </w:pPr>
      <w:r>
        <w:rPr>
          <w:rFonts w:ascii="Verdana" w:hAnsi="Verdana"/>
        </w:rPr>
        <w:t xml:space="preserve">chemické nebezpečenstvá a </w:t>
      </w:r>
    </w:p>
    <w:p w:rsidR="00E016F1" w:rsidRPr="001C3A68" w:rsidRDefault="00E016F1" w:rsidP="001C3A68">
      <w:pPr>
        <w:pStyle w:val="ListParagraph"/>
        <w:numPr>
          <w:ilvl w:val="0"/>
          <w:numId w:val="44"/>
        </w:numPr>
        <w:spacing w:before="120"/>
        <w:jc w:val="both"/>
        <w:rPr>
          <w:rFonts w:ascii="Verdana" w:hAnsi="Verdana"/>
          <w:szCs w:val="20"/>
        </w:rPr>
      </w:pPr>
      <w:r>
        <w:rPr>
          <w:rFonts w:ascii="Verdana" w:hAnsi="Verdana"/>
        </w:rPr>
        <w:t>fyzikálne nebezpečenstvá.</w:t>
      </w:r>
    </w:p>
    <w:p w:rsidR="00E4063B" w:rsidRPr="00E016F1" w:rsidRDefault="007C09D3" w:rsidP="002E52C2">
      <w:pPr>
        <w:rPr>
          <w:rFonts w:ascii="Verdana" w:hAnsi="Verdana"/>
          <w:b/>
        </w:rPr>
      </w:pPr>
      <w:r>
        <w:br w:type="page"/>
      </w:r>
    </w:p>
    <w:p w:rsidR="00B631D4" w:rsidRPr="00E0569C" w:rsidRDefault="00B631D4" w:rsidP="00E0569C">
      <w:pPr>
        <w:pStyle w:val="Heading2"/>
        <w:rPr>
          <w:rFonts w:ascii="Verdana" w:hAnsi="Verdana"/>
        </w:rPr>
      </w:pPr>
      <w:bookmarkStart w:id="17" w:name="_Toc438220129"/>
      <w:r>
        <w:rPr>
          <w:rFonts w:ascii="Verdana" w:hAnsi="Verdana"/>
        </w:rPr>
        <w:lastRenderedPageBreak/>
        <w:t>Postup pri posudzovaní rizík</w:t>
      </w:r>
      <w:bookmarkEnd w:id="17"/>
    </w:p>
    <w:p w:rsidR="00E0569C" w:rsidRDefault="00E0569C" w:rsidP="00E0569C">
      <w:pPr>
        <w:pStyle w:val="Heading2"/>
        <w:numPr>
          <w:ilvl w:val="0"/>
          <w:numId w:val="0"/>
        </w:numPr>
        <w:rPr>
          <w:rFonts w:ascii="Verdana" w:hAnsi="Verdana"/>
        </w:rPr>
      </w:pPr>
    </w:p>
    <w:p w:rsidR="00AB1F25" w:rsidRDefault="00AB1F25" w:rsidP="00784AA7">
      <w:pPr>
        <w:ind w:left="567"/>
        <w:rPr>
          <w:rFonts w:cs="Tahoma"/>
          <w:szCs w:val="20"/>
          <w:u w:val="single"/>
        </w:rPr>
      </w:pPr>
      <w:r>
        <w:rPr>
          <w:u w:val="single"/>
        </w:rPr>
        <w:t>EBB postupovala podľa metodiky uvedenej v Príručke – kapitola 6 – Systém HACCP</w:t>
      </w:r>
    </w:p>
    <w:p w:rsidR="00AB1F25" w:rsidRPr="00AB1F25" w:rsidRDefault="00AB1F25" w:rsidP="00AB1F25"/>
    <w:p w:rsidR="00D10ECC" w:rsidRPr="00E0569C" w:rsidRDefault="00D10ECC" w:rsidP="009301A1">
      <w:pPr>
        <w:pStyle w:val="Heading3"/>
        <w:jc w:val="both"/>
      </w:pPr>
      <w:r>
        <w:t>Výrobný proces bionafty: EBB zostavila vývojový diagram, ktorý sa vzťahuje na všetky stupne výroby bionafty: od dopravy a príjmu surovín, cez skladovanie, použitie technologických pomocných látok, oddelenie materiálov po transesterifikácii, vymývanie (ktorých výsledkom je konečný produkt – bionafta a surový glycerín), až po skladovanie a prepravu.</w:t>
      </w:r>
    </w:p>
    <w:p w:rsidR="00793196" w:rsidRPr="00E0569C" w:rsidRDefault="00793196" w:rsidP="00E0569C">
      <w:pPr>
        <w:ind w:left="567"/>
        <w:jc w:val="both"/>
        <w:rPr>
          <w:rFonts w:ascii="Verdana" w:hAnsi="Verdana"/>
        </w:rPr>
      </w:pPr>
    </w:p>
    <w:p w:rsidR="00E252E3" w:rsidRPr="00E0569C" w:rsidRDefault="00793196" w:rsidP="00E0569C">
      <w:pPr>
        <w:pStyle w:val="Heading3"/>
        <w:jc w:val="both"/>
        <w:rPr>
          <w:rFonts w:ascii="Verdana" w:hAnsi="Verdana"/>
        </w:rPr>
      </w:pPr>
      <w:r>
        <w:rPr>
          <w:rFonts w:ascii="Verdana" w:hAnsi="Verdana"/>
        </w:rPr>
        <w:t>Pre jednotlivé kroky pri spracovaní boli všeobecne opísané nebezpečenstvá súvisiace so zariadeniami. Bezpečnosť ohrozujú biologické (B), chemické (CH) alebo fyzikálne (F) látky v produkte alebo jeho stav, pre ktoré je škodlivý pre zdravie ľudí alebo zvierat.</w:t>
      </w:r>
    </w:p>
    <w:p w:rsidR="00E252E3" w:rsidRPr="00E0569C" w:rsidRDefault="00E252E3" w:rsidP="00E0569C">
      <w:pPr>
        <w:pStyle w:val="Heading3"/>
        <w:numPr>
          <w:ilvl w:val="0"/>
          <w:numId w:val="0"/>
        </w:numPr>
        <w:ind w:left="567"/>
        <w:jc w:val="both"/>
        <w:rPr>
          <w:rFonts w:ascii="Verdana" w:hAnsi="Verdana"/>
        </w:rPr>
      </w:pPr>
    </w:p>
    <w:p w:rsidR="00D821F8" w:rsidRDefault="00E252E3" w:rsidP="00E0569C">
      <w:pPr>
        <w:pStyle w:val="Heading3"/>
        <w:jc w:val="both"/>
        <w:rPr>
          <w:rFonts w:ascii="Verdana" w:hAnsi="Verdana"/>
        </w:rPr>
      </w:pPr>
      <w:r>
        <w:rPr>
          <w:rFonts w:ascii="Verdana" w:hAnsi="Verdana"/>
        </w:rPr>
        <w:t>Prvky reťazca, ktoré priamo súvisia s pracovnou činnosťou členov EBB v rámci výrobného procesu, boli posúdené na základe rizika daného nebezpečenstva.</w:t>
      </w:r>
    </w:p>
    <w:p w:rsidR="00D821F8" w:rsidRPr="00D821F8" w:rsidRDefault="00D821F8" w:rsidP="00D821F8"/>
    <w:p w:rsidR="00D821F8" w:rsidRDefault="00D821F8" w:rsidP="00E0569C">
      <w:pPr>
        <w:pStyle w:val="Heading3"/>
        <w:jc w:val="both"/>
        <w:rPr>
          <w:rFonts w:ascii="Verdana" w:hAnsi="Verdana"/>
          <w:szCs w:val="20"/>
        </w:rPr>
      </w:pPr>
      <w:r>
        <w:rPr>
          <w:rFonts w:ascii="Verdana" w:hAnsi="Verdana"/>
        </w:rPr>
        <w:t>Ako bolo uvedené, výpočet týchto rizík nemožno považovať za úplný a riziká môžu byť u jednotlivých výrobcov bionafty odlišné v závislosti od ich individuálnych a konkrétnych podmienok spracovania.</w:t>
      </w:r>
    </w:p>
    <w:p w:rsidR="00D821F8" w:rsidRDefault="00D821F8" w:rsidP="00D821F8">
      <w:pPr>
        <w:pStyle w:val="Heading3"/>
        <w:numPr>
          <w:ilvl w:val="0"/>
          <w:numId w:val="0"/>
        </w:numPr>
        <w:ind w:left="1440" w:hanging="720"/>
        <w:jc w:val="both"/>
        <w:rPr>
          <w:rFonts w:ascii="Verdana" w:hAnsi="Verdana"/>
          <w:szCs w:val="20"/>
        </w:rPr>
      </w:pPr>
    </w:p>
    <w:p w:rsidR="0062274A" w:rsidRPr="00E851BD" w:rsidRDefault="0062274A" w:rsidP="00E851BD">
      <w:pPr>
        <w:pStyle w:val="Heading3"/>
        <w:numPr>
          <w:ilvl w:val="0"/>
          <w:numId w:val="0"/>
        </w:numPr>
        <w:ind w:left="1440" w:hanging="24"/>
        <w:jc w:val="both"/>
        <w:rPr>
          <w:rFonts w:ascii="Verdana" w:hAnsi="Verdana"/>
          <w:szCs w:val="20"/>
        </w:rPr>
      </w:pPr>
      <w:r>
        <w:rPr>
          <w:rFonts w:ascii="Verdana" w:hAnsi="Verdana"/>
        </w:rPr>
        <w:t>Navyše v týchto tabuľkách nie je uvedený operačný program nevyhnutných predpokladov ani kritický kontrolný bod, lebo rozhodnutie vedúce k ich vytvoreniu by malo byť v súlade so skutočnými prevádzkovými podmienkami každého výrobného závodu alebo výrobnej linky.</w:t>
      </w:r>
    </w:p>
    <w:p w:rsidR="0062274A" w:rsidRDefault="0062274A" w:rsidP="0062274A"/>
    <w:p w:rsidR="00E252E3" w:rsidRPr="00C50BC8" w:rsidRDefault="00E252E3" w:rsidP="00E252E3">
      <w:pPr>
        <w:autoSpaceDE w:val="0"/>
        <w:autoSpaceDN w:val="0"/>
        <w:adjustRightInd w:val="0"/>
        <w:ind w:left="2844"/>
        <w:jc w:val="both"/>
        <w:rPr>
          <w:rFonts w:ascii="Verdana" w:hAnsi="Verdana" w:cs="Tahoma"/>
          <w:color w:val="000000"/>
          <w:szCs w:val="20"/>
        </w:rPr>
      </w:pPr>
    </w:p>
    <w:p w:rsidR="00072A49" w:rsidRPr="00E0569C" w:rsidRDefault="00072A49" w:rsidP="00072A49">
      <w:pPr>
        <w:pStyle w:val="Heading3"/>
        <w:numPr>
          <w:ilvl w:val="0"/>
          <w:numId w:val="0"/>
        </w:numPr>
        <w:ind w:left="1440"/>
        <w:rPr>
          <w:rFonts w:ascii="Verdana" w:hAnsi="Verdana"/>
          <w:szCs w:val="20"/>
        </w:rPr>
      </w:pPr>
    </w:p>
    <w:p w:rsidR="00E252E3" w:rsidRPr="00E0569C" w:rsidRDefault="00C20A50" w:rsidP="00E0569C">
      <w:pPr>
        <w:pStyle w:val="Heading3"/>
        <w:rPr>
          <w:rFonts w:ascii="Verdana" w:hAnsi="Verdana"/>
        </w:rPr>
      </w:pPr>
      <w:r>
        <w:rPr>
          <w:rFonts w:ascii="Verdana" w:hAnsi="Verdana"/>
        </w:rPr>
        <w:t>EBB zdôvodnila posúdenie rizík.</w:t>
      </w:r>
    </w:p>
    <w:p w:rsidR="00072A49" w:rsidRPr="00E0569C" w:rsidRDefault="00072A49" w:rsidP="00E252E3">
      <w:pPr>
        <w:rPr>
          <w:rFonts w:ascii="Verdana" w:hAnsi="Verdana"/>
        </w:rPr>
      </w:pPr>
    </w:p>
    <w:p w:rsidR="00C50BC8" w:rsidRPr="0055765D" w:rsidRDefault="00C20A50" w:rsidP="00C50BC8">
      <w:pPr>
        <w:pStyle w:val="Heading3"/>
        <w:rPr>
          <w:rFonts w:ascii="Verdana" w:hAnsi="Verdana"/>
        </w:rPr>
      </w:pPr>
      <w:r>
        <w:rPr>
          <w:rFonts w:ascii="Verdana" w:hAnsi="Verdana"/>
        </w:rPr>
        <w:t>EBB skontrolovala, či právne predpisy EÚ alebo obchodné normy obsahujú limity pre príslušné nebezpečenstvo, a ak áno, uviedla ich.</w:t>
      </w:r>
    </w:p>
    <w:p w:rsidR="00E4063B" w:rsidRPr="00E0569C" w:rsidRDefault="00E4063B" w:rsidP="002E52C2">
      <w:pPr>
        <w:rPr>
          <w:rFonts w:ascii="Verdana" w:hAnsi="Verdana"/>
          <w:b/>
        </w:rPr>
      </w:pPr>
    </w:p>
    <w:p w:rsidR="00B631D4" w:rsidRPr="00C50BC8" w:rsidRDefault="00B631D4" w:rsidP="002E52C2">
      <w:pPr>
        <w:rPr>
          <w:rFonts w:ascii="Verdana" w:hAnsi="Verdana"/>
          <w:b/>
        </w:rPr>
      </w:pPr>
    </w:p>
    <w:p w:rsidR="002E52C2" w:rsidRPr="00C50BC8" w:rsidRDefault="002E52C2" w:rsidP="002E52C2">
      <w:pPr>
        <w:rPr>
          <w:rFonts w:ascii="Verdana" w:hAnsi="Verdana"/>
        </w:rPr>
      </w:pPr>
    </w:p>
    <w:p w:rsidR="008675C9" w:rsidRPr="00C50BC8" w:rsidRDefault="008675C9" w:rsidP="002E52C2">
      <w:pPr>
        <w:rPr>
          <w:rFonts w:ascii="Verdana" w:hAnsi="Verdana"/>
        </w:rPr>
        <w:sectPr w:rsidR="008675C9" w:rsidRPr="00C50BC8" w:rsidSect="007D3F9B">
          <w:headerReference w:type="default" r:id="rId19"/>
          <w:footerReference w:type="even" r:id="rId20"/>
          <w:footerReference w:type="default" r:id="rId21"/>
          <w:pgSz w:w="12240" w:h="15840"/>
          <w:pgMar w:top="1361" w:right="1701" w:bottom="1361" w:left="1701" w:header="720" w:footer="720" w:gutter="0"/>
          <w:cols w:space="720"/>
          <w:titlePg/>
          <w:docGrid w:linePitch="360"/>
        </w:sectPr>
      </w:pPr>
    </w:p>
    <w:p w:rsidR="008675C9" w:rsidRPr="00C50BC8" w:rsidRDefault="008675C9" w:rsidP="002E52C2">
      <w:pPr>
        <w:rPr>
          <w:rFonts w:ascii="Verdana" w:hAnsi="Verdana"/>
        </w:rPr>
      </w:pPr>
    </w:p>
    <w:p w:rsidR="008675C9" w:rsidRPr="00C50BC8" w:rsidRDefault="008675C9" w:rsidP="002E52C2">
      <w:pPr>
        <w:rPr>
          <w:rFonts w:ascii="Verdana" w:hAnsi="Verdana"/>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54"/>
        <w:gridCol w:w="948"/>
        <w:gridCol w:w="1418"/>
        <w:gridCol w:w="850"/>
        <w:gridCol w:w="2268"/>
        <w:gridCol w:w="2127"/>
        <w:gridCol w:w="2693"/>
        <w:gridCol w:w="1843"/>
      </w:tblGrid>
      <w:tr w:rsidR="00C724B8" w:rsidRPr="00300F3C" w:rsidTr="00DC50EA">
        <w:trPr>
          <w:trHeight w:val="429"/>
        </w:trPr>
        <w:tc>
          <w:tcPr>
            <w:tcW w:w="4928" w:type="dxa"/>
            <w:gridSpan w:val="4"/>
            <w:tcBorders>
              <w:bottom w:val="single" w:sz="4" w:space="0" w:color="auto"/>
            </w:tcBorders>
            <w:shd w:val="clear" w:color="auto" w:fill="0DA72A"/>
            <w:tcMar>
              <w:top w:w="57" w:type="dxa"/>
              <w:bottom w:w="57" w:type="dxa"/>
            </w:tcMar>
            <w:vAlign w:val="center"/>
          </w:tcPr>
          <w:p w:rsidR="00C724B8" w:rsidRPr="004831A2" w:rsidRDefault="00E80F73" w:rsidP="004831A2">
            <w:pPr>
              <w:pStyle w:val="Heading1"/>
              <w:numPr>
                <w:ilvl w:val="0"/>
                <w:numId w:val="0"/>
              </w:numPr>
              <w:rPr>
                <w:color w:val="FFFFFF" w:themeColor="background1"/>
                <w:sz w:val="32"/>
              </w:rPr>
            </w:pPr>
            <w:bookmarkStart w:id="18" w:name="_Toc438220130"/>
            <w:r>
              <w:rPr>
                <w:color w:val="FFFFFF" w:themeColor="background1"/>
                <w:sz w:val="32"/>
              </w:rPr>
              <w:t>8. Prístup založený na rizikách, pokiaľ ide o glycerín</w:t>
            </w:r>
            <w:bookmarkEnd w:id="18"/>
          </w:p>
          <w:p w:rsidR="00C724B8" w:rsidRPr="00300F3C" w:rsidRDefault="00C724B8" w:rsidP="004E54A8">
            <w:pPr>
              <w:widowControl w:val="0"/>
              <w:spacing w:before="20" w:after="20"/>
              <w:jc w:val="right"/>
              <w:rPr>
                <w:rFonts w:ascii="Verdana" w:hAnsi="Verdana" w:cs="Tahoma"/>
                <w:b/>
                <w:bCs/>
                <w:color w:val="FFFFFF"/>
                <w:sz w:val="28"/>
                <w:szCs w:val="28"/>
              </w:rPr>
            </w:pPr>
          </w:p>
        </w:tc>
        <w:tc>
          <w:tcPr>
            <w:tcW w:w="9781" w:type="dxa"/>
            <w:gridSpan w:val="5"/>
            <w:tcBorders>
              <w:left w:val="nil"/>
              <w:bottom w:val="single" w:sz="4" w:space="0" w:color="auto"/>
            </w:tcBorders>
            <w:shd w:val="clear" w:color="auto" w:fill="0DA72A"/>
            <w:tcMar>
              <w:top w:w="57" w:type="dxa"/>
              <w:bottom w:w="57" w:type="dxa"/>
            </w:tcMar>
            <w:vAlign w:val="center"/>
          </w:tcPr>
          <w:p w:rsidR="00C724B8" w:rsidRPr="00D80406" w:rsidRDefault="00127622" w:rsidP="00D80406">
            <w:pPr>
              <w:pStyle w:val="ListParagraph"/>
              <w:widowControl w:val="0"/>
              <w:numPr>
                <w:ilvl w:val="0"/>
                <w:numId w:val="38"/>
              </w:numPr>
              <w:rPr>
                <w:rFonts w:ascii="Verdana" w:hAnsi="Verdana" w:cs="Tahoma"/>
                <w:b/>
                <w:color w:val="FFFFFF"/>
                <w:sz w:val="28"/>
                <w:szCs w:val="28"/>
              </w:rPr>
            </w:pPr>
            <w:r>
              <w:rPr>
                <w:rFonts w:ascii="Verdana" w:hAnsi="Verdana"/>
                <w:b/>
                <w:color w:val="FFFFFF"/>
                <w:sz w:val="28"/>
              </w:rPr>
              <w:t>Všeobecné riziko: Spracovanie bionafty</w:t>
            </w:r>
          </w:p>
        </w:tc>
      </w:tr>
      <w:tr w:rsidR="00993467" w:rsidRPr="00300F3C" w:rsidTr="003E010C">
        <w:trPr>
          <w:trHeight w:val="536"/>
        </w:trPr>
        <w:tc>
          <w:tcPr>
            <w:tcW w:w="1908" w:type="dxa"/>
            <w:tcBorders>
              <w:bottom w:val="single" w:sz="4" w:space="0" w:color="auto"/>
            </w:tcBorders>
            <w:shd w:val="clear" w:color="auto" w:fill="0DA72A"/>
            <w:tcMar>
              <w:top w:w="28" w:type="dxa"/>
              <w:bottom w:w="28" w:type="dxa"/>
            </w:tcMar>
            <w:vAlign w:val="center"/>
          </w:tcPr>
          <w:p w:rsidR="00993467" w:rsidRPr="00300F3C" w:rsidRDefault="00993467" w:rsidP="004E54A8">
            <w:pPr>
              <w:widowControl w:val="0"/>
              <w:spacing w:before="20" w:after="20"/>
              <w:rPr>
                <w:rFonts w:ascii="Verdana" w:hAnsi="Verdana" w:cs="Tahoma"/>
                <w:b/>
                <w:bCs/>
                <w:color w:val="FFFFFF"/>
                <w:sz w:val="14"/>
                <w:szCs w:val="14"/>
              </w:rPr>
            </w:pPr>
            <w:r>
              <w:rPr>
                <w:rFonts w:ascii="Verdana" w:hAnsi="Verdana"/>
                <w:b/>
                <w:color w:val="FFFFFF"/>
                <w:sz w:val="14"/>
              </w:rPr>
              <w:t xml:space="preserve">NEBEZPEČENSTVO </w:t>
            </w:r>
          </w:p>
        </w:tc>
        <w:tc>
          <w:tcPr>
            <w:tcW w:w="654" w:type="dxa"/>
            <w:tcBorders>
              <w:bottom w:val="single" w:sz="4" w:space="0" w:color="auto"/>
            </w:tcBorders>
            <w:shd w:val="clear" w:color="auto" w:fill="0DA72A"/>
            <w:tcMar>
              <w:top w:w="28" w:type="dxa"/>
              <w:bottom w:w="28" w:type="dxa"/>
            </w:tcMar>
            <w:vAlign w:val="center"/>
          </w:tcPr>
          <w:p w:rsidR="00993467" w:rsidRPr="00300F3C"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KATEGÓRIA </w:t>
            </w:r>
          </w:p>
        </w:tc>
        <w:tc>
          <w:tcPr>
            <w:tcW w:w="948" w:type="dxa"/>
            <w:tcBorders>
              <w:bottom w:val="single" w:sz="4" w:space="0" w:color="auto"/>
            </w:tcBorders>
            <w:shd w:val="clear" w:color="auto" w:fill="0DA72A"/>
            <w:tcMar>
              <w:top w:w="28" w:type="dxa"/>
              <w:bottom w:w="28" w:type="dxa"/>
            </w:tcMar>
            <w:vAlign w:val="center"/>
          </w:tcPr>
          <w:p w:rsidR="00993467" w:rsidRPr="00300F3C"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PRAVDEPODOBNOSŤ </w:t>
            </w:r>
          </w:p>
        </w:tc>
        <w:tc>
          <w:tcPr>
            <w:tcW w:w="1418" w:type="dxa"/>
            <w:tcBorders>
              <w:bottom w:val="single" w:sz="4" w:space="0" w:color="auto"/>
            </w:tcBorders>
            <w:shd w:val="clear" w:color="auto" w:fill="0DA72A"/>
            <w:tcMar>
              <w:top w:w="28" w:type="dxa"/>
              <w:bottom w:w="28" w:type="dxa"/>
            </w:tcMar>
            <w:vAlign w:val="center"/>
          </w:tcPr>
          <w:p w:rsidR="00993467" w:rsidRPr="00300F3C" w:rsidRDefault="00993467" w:rsidP="004B2FB4">
            <w:pPr>
              <w:widowControl w:val="0"/>
              <w:spacing w:before="20" w:after="20"/>
              <w:rPr>
                <w:rFonts w:ascii="Verdana" w:hAnsi="Verdana" w:cs="Tahoma"/>
                <w:b/>
                <w:bCs/>
                <w:color w:val="FFFFFF"/>
                <w:sz w:val="14"/>
                <w:szCs w:val="14"/>
              </w:rPr>
            </w:pPr>
            <w:r>
              <w:rPr>
                <w:rFonts w:ascii="Verdana" w:hAnsi="Verdana"/>
                <w:b/>
                <w:color w:val="FFFFFF"/>
                <w:sz w:val="14"/>
              </w:rPr>
              <w:t xml:space="preserve">ZÁVAŽNOSŤ </w:t>
            </w:r>
          </w:p>
        </w:tc>
        <w:tc>
          <w:tcPr>
            <w:tcW w:w="850" w:type="dxa"/>
            <w:tcBorders>
              <w:bottom w:val="single" w:sz="4" w:space="0" w:color="auto"/>
            </w:tcBorders>
            <w:shd w:val="clear" w:color="auto" w:fill="0DA72A"/>
            <w:tcMar>
              <w:top w:w="28" w:type="dxa"/>
              <w:bottom w:w="28" w:type="dxa"/>
            </w:tcMar>
            <w:vAlign w:val="center"/>
          </w:tcPr>
          <w:p w:rsidR="00993467" w:rsidRPr="00300F3C"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TRIEDA RIZIKA </w:t>
            </w:r>
          </w:p>
        </w:tc>
        <w:tc>
          <w:tcPr>
            <w:tcW w:w="2268" w:type="dxa"/>
            <w:tcBorders>
              <w:bottom w:val="single" w:sz="4" w:space="0" w:color="auto"/>
            </w:tcBorders>
            <w:shd w:val="clear" w:color="auto" w:fill="0DA72A"/>
            <w:tcMar>
              <w:top w:w="28" w:type="dxa"/>
              <w:bottom w:w="28" w:type="dxa"/>
            </w:tcMar>
            <w:vAlign w:val="center"/>
          </w:tcPr>
          <w:p w:rsidR="00993467" w:rsidRPr="00300F3C"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ZDÔVODNENIE</w:t>
            </w:r>
          </w:p>
        </w:tc>
        <w:tc>
          <w:tcPr>
            <w:tcW w:w="2127" w:type="dxa"/>
            <w:tcBorders>
              <w:bottom w:val="single" w:sz="4" w:space="0" w:color="auto"/>
            </w:tcBorders>
            <w:shd w:val="clear" w:color="auto" w:fill="0DA72A"/>
            <w:tcMar>
              <w:top w:w="28" w:type="dxa"/>
              <w:bottom w:w="28" w:type="dxa"/>
            </w:tcMar>
            <w:vAlign w:val="center"/>
          </w:tcPr>
          <w:p w:rsidR="00993467" w:rsidRPr="00300F3C" w:rsidRDefault="00993467" w:rsidP="00D117AF">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PRÁVNE PREDPISY, ODVETVOVÉ NORMY  </w:t>
            </w:r>
          </w:p>
        </w:tc>
        <w:tc>
          <w:tcPr>
            <w:tcW w:w="2693" w:type="dxa"/>
            <w:tcBorders>
              <w:bottom w:val="single" w:sz="4" w:space="0" w:color="auto"/>
            </w:tcBorders>
            <w:shd w:val="clear" w:color="auto" w:fill="0DA72A"/>
            <w:tcMar>
              <w:top w:w="28" w:type="dxa"/>
              <w:bottom w:w="28" w:type="dxa"/>
            </w:tcMar>
            <w:vAlign w:val="center"/>
          </w:tcPr>
          <w:p w:rsidR="00993467" w:rsidRPr="00300F3C"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KONTROLNÉ OPATRENIE  </w:t>
            </w:r>
          </w:p>
        </w:tc>
        <w:tc>
          <w:tcPr>
            <w:tcW w:w="1843" w:type="dxa"/>
            <w:tcBorders>
              <w:bottom w:val="single" w:sz="4" w:space="0" w:color="auto"/>
            </w:tcBorders>
            <w:shd w:val="clear" w:color="auto" w:fill="0DA72A"/>
            <w:tcMar>
              <w:top w:w="28" w:type="dxa"/>
              <w:bottom w:w="28" w:type="dxa"/>
            </w:tcMar>
            <w:vAlign w:val="center"/>
          </w:tcPr>
          <w:p w:rsidR="00993467" w:rsidRPr="00300F3C" w:rsidRDefault="00993467" w:rsidP="004E54A8">
            <w:pPr>
              <w:widowControl w:val="0"/>
              <w:spacing w:before="20" w:after="20"/>
              <w:jc w:val="center"/>
              <w:rPr>
                <w:rFonts w:ascii="Verdana" w:hAnsi="Verdana" w:cs="Tahoma"/>
                <w:color w:val="FFFFFF"/>
                <w:sz w:val="14"/>
                <w:szCs w:val="14"/>
              </w:rPr>
            </w:pPr>
            <w:r>
              <w:rPr>
                <w:rFonts w:ascii="Verdana" w:hAnsi="Verdana"/>
                <w:b/>
                <w:color w:val="FFFFFF"/>
                <w:sz w:val="14"/>
              </w:rPr>
              <w:t xml:space="preserve">POZNÁMKY </w:t>
            </w:r>
          </w:p>
        </w:tc>
      </w:tr>
      <w:tr w:rsidR="00993467" w:rsidRPr="00300F3C" w:rsidTr="003E010C">
        <w:trPr>
          <w:trHeight w:val="751"/>
        </w:trPr>
        <w:tc>
          <w:tcPr>
            <w:tcW w:w="1908"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Tahoma"/>
                <w:b/>
                <w:bCs/>
                <w:sz w:val="16"/>
                <w:szCs w:val="16"/>
              </w:rPr>
            </w:pPr>
            <w:r>
              <w:rPr>
                <w:rFonts w:ascii="Verdana" w:hAnsi="Verdana"/>
                <w:b/>
                <w:sz w:val="16"/>
              </w:rPr>
              <w:t>Kvalita vody</w:t>
            </w:r>
          </w:p>
        </w:tc>
        <w:tc>
          <w:tcPr>
            <w:tcW w:w="654" w:type="dxa"/>
            <w:tcBorders>
              <w:top w:val="single" w:sz="4" w:space="0" w:color="auto"/>
              <w:bottom w:val="single" w:sz="4" w:space="0" w:color="auto"/>
            </w:tcBorders>
            <w:tcMar>
              <w:top w:w="85" w:type="dxa"/>
              <w:bottom w:w="85" w:type="dxa"/>
            </w:tcMar>
          </w:tcPr>
          <w:p w:rsidR="00993467" w:rsidRPr="003E010C" w:rsidRDefault="00993467" w:rsidP="004E54A8">
            <w:pPr>
              <w:jc w:val="center"/>
              <w:rPr>
                <w:rFonts w:ascii="Verdana" w:hAnsi="Verdana" w:cs="Tahoma"/>
                <w:sz w:val="16"/>
                <w:szCs w:val="16"/>
              </w:rPr>
            </w:pPr>
            <w:r>
              <w:rPr>
                <w:rFonts w:ascii="Verdana" w:hAnsi="Verdana"/>
                <w:sz w:val="16"/>
              </w:rPr>
              <w:t>CH/B/F</w:t>
            </w:r>
          </w:p>
        </w:tc>
        <w:tc>
          <w:tcPr>
            <w:tcW w:w="948" w:type="dxa"/>
            <w:tcBorders>
              <w:top w:val="single" w:sz="4" w:space="0" w:color="auto"/>
              <w:bottom w:val="single" w:sz="4" w:space="0" w:color="auto"/>
            </w:tcBorders>
            <w:tcMar>
              <w:top w:w="85" w:type="dxa"/>
              <w:bottom w:w="85" w:type="dxa"/>
            </w:tcMar>
          </w:tcPr>
          <w:p w:rsidR="00993467" w:rsidRPr="003E010C" w:rsidRDefault="00FF185B" w:rsidP="004E54A8">
            <w:pPr>
              <w:jc w:val="center"/>
              <w:rPr>
                <w:rFonts w:ascii="Verdana" w:hAnsi="Verdana" w:cs="Tahoma"/>
                <w:sz w:val="16"/>
                <w:szCs w:val="16"/>
              </w:rPr>
            </w:pPr>
            <w:r>
              <w:rPr>
                <w:rFonts w:ascii="Verdana" w:hAnsi="Verdana"/>
                <w:sz w:val="16"/>
              </w:rPr>
              <w:t>Nízka</w:t>
            </w:r>
          </w:p>
        </w:tc>
        <w:tc>
          <w:tcPr>
            <w:tcW w:w="1418" w:type="dxa"/>
            <w:tcBorders>
              <w:top w:val="single" w:sz="4" w:space="0" w:color="auto"/>
              <w:bottom w:val="single" w:sz="4" w:space="0" w:color="auto"/>
            </w:tcBorders>
            <w:tcMar>
              <w:top w:w="85" w:type="dxa"/>
              <w:bottom w:w="85" w:type="dxa"/>
            </w:tcMar>
          </w:tcPr>
          <w:p w:rsidR="00993467" w:rsidRPr="003E010C" w:rsidRDefault="00FF185B" w:rsidP="004E54A8">
            <w:pPr>
              <w:jc w:val="center"/>
              <w:rPr>
                <w:rFonts w:ascii="Verdana" w:hAnsi="Verdana" w:cs="Tahoma"/>
                <w:sz w:val="16"/>
                <w:szCs w:val="16"/>
              </w:rPr>
            </w:pPr>
            <w:r>
              <w:rPr>
                <w:rFonts w:ascii="Verdana" w:hAnsi="Verdana"/>
                <w:sz w:val="16"/>
              </w:rPr>
              <w:t>Vysoká</w:t>
            </w:r>
          </w:p>
        </w:tc>
        <w:tc>
          <w:tcPr>
            <w:tcW w:w="850" w:type="dxa"/>
            <w:tcBorders>
              <w:top w:val="single" w:sz="4" w:space="0" w:color="auto"/>
              <w:bottom w:val="single" w:sz="4" w:space="0" w:color="auto"/>
            </w:tcBorders>
            <w:shd w:val="clear" w:color="auto" w:fill="FFC000"/>
            <w:tcMar>
              <w:top w:w="85" w:type="dxa"/>
              <w:bottom w:w="85" w:type="dxa"/>
            </w:tcMar>
          </w:tcPr>
          <w:p w:rsidR="00993467" w:rsidRPr="003E010C" w:rsidRDefault="00993467" w:rsidP="004E54A8">
            <w:pPr>
              <w:jc w:val="center"/>
              <w:rPr>
                <w:rFonts w:ascii="Verdana" w:hAnsi="Verdana" w:cs="Tahoma"/>
                <w:sz w:val="16"/>
                <w:szCs w:val="16"/>
              </w:rPr>
            </w:pPr>
            <w:r>
              <w:rPr>
                <w:rFonts w:ascii="Verdana" w:hAnsi="Verdana"/>
                <w:sz w:val="16"/>
              </w:rPr>
              <w:t>3</w:t>
            </w:r>
          </w:p>
        </w:tc>
        <w:tc>
          <w:tcPr>
            <w:tcW w:w="2268" w:type="dxa"/>
            <w:tcBorders>
              <w:top w:val="single" w:sz="4" w:space="0" w:color="auto"/>
              <w:bottom w:val="single" w:sz="4" w:space="0" w:color="auto"/>
            </w:tcBorders>
            <w:tcMar>
              <w:top w:w="85" w:type="dxa"/>
              <w:bottom w:w="85" w:type="dxa"/>
            </w:tcMar>
          </w:tcPr>
          <w:p w:rsidR="00993467" w:rsidRPr="003E010C" w:rsidRDefault="00993467" w:rsidP="00AD370B">
            <w:pPr>
              <w:rPr>
                <w:rFonts w:ascii="Verdana" w:hAnsi="Verdana" w:cs="Tahoma"/>
                <w:sz w:val="16"/>
                <w:szCs w:val="16"/>
              </w:rPr>
            </w:pPr>
            <w:r>
              <w:rPr>
                <w:rFonts w:ascii="Verdana" w:hAnsi="Verdana"/>
                <w:sz w:val="16"/>
              </w:rPr>
              <w:t>Voda sa používa pri výrobe bionafty.</w:t>
            </w:r>
          </w:p>
        </w:tc>
        <w:tc>
          <w:tcPr>
            <w:tcW w:w="2127" w:type="dxa"/>
            <w:tcBorders>
              <w:top w:val="single" w:sz="4" w:space="0" w:color="auto"/>
              <w:bottom w:val="single" w:sz="4" w:space="0" w:color="auto"/>
            </w:tcBorders>
            <w:tcMar>
              <w:top w:w="85" w:type="dxa"/>
              <w:bottom w:w="85" w:type="dxa"/>
            </w:tcMar>
          </w:tcPr>
          <w:p w:rsidR="00993467" w:rsidRPr="003E010C" w:rsidRDefault="00993467" w:rsidP="004E54A8">
            <w:pPr>
              <w:rPr>
                <w:rFonts w:ascii="Verdana" w:hAnsi="Verdana" w:cs="Tahoma"/>
                <w:sz w:val="16"/>
                <w:szCs w:val="16"/>
              </w:rPr>
            </w:pPr>
            <w:r>
              <w:rPr>
                <w:rFonts w:ascii="Verdana" w:hAnsi="Verdana"/>
                <w:sz w:val="16"/>
              </w:rPr>
              <w:t>Podľa nariadenia (ES) č. 183/2005 musí mať voda používaná pri výrobe krmiva vhodnú kvalitu.</w:t>
            </w:r>
          </w:p>
        </w:tc>
        <w:tc>
          <w:tcPr>
            <w:tcW w:w="2693"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Tahoma"/>
                <w:iCs/>
                <w:sz w:val="16"/>
                <w:szCs w:val="16"/>
              </w:rPr>
            </w:pPr>
            <w:r>
              <w:rPr>
                <w:rFonts w:ascii="Verdana" w:hAnsi="Verdana"/>
                <w:sz w:val="16"/>
              </w:rPr>
              <w:t>Použite vhodnú vodu, ktorá má kvalitu pitnej vody.</w:t>
            </w:r>
          </w:p>
          <w:p w:rsidR="00993467" w:rsidRPr="003E010C" w:rsidRDefault="00993467" w:rsidP="004E54A8">
            <w:pPr>
              <w:widowControl w:val="0"/>
              <w:rPr>
                <w:rFonts w:ascii="Verdana" w:hAnsi="Verdana" w:cs="Tahoma"/>
                <w:iCs/>
                <w:sz w:val="16"/>
                <w:szCs w:val="16"/>
              </w:rPr>
            </w:pPr>
          </w:p>
          <w:p w:rsidR="00993467" w:rsidRPr="003E010C" w:rsidRDefault="00993467" w:rsidP="004E54A8">
            <w:pPr>
              <w:widowControl w:val="0"/>
              <w:rPr>
                <w:rFonts w:ascii="Verdana" w:hAnsi="Verdana" w:cs="Tahoma"/>
                <w:iCs/>
                <w:sz w:val="16"/>
                <w:szCs w:val="16"/>
              </w:rPr>
            </w:pPr>
            <w:r>
              <w:rPr>
                <w:rFonts w:ascii="Verdana" w:hAnsi="Verdana"/>
                <w:sz w:val="16"/>
              </w:rPr>
              <w:t>Vyhraďte vodovodné okruhy.</w:t>
            </w:r>
          </w:p>
        </w:tc>
        <w:tc>
          <w:tcPr>
            <w:tcW w:w="1843"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Arial Narrow"/>
                <w:sz w:val="16"/>
                <w:szCs w:val="16"/>
              </w:rPr>
            </w:pPr>
          </w:p>
        </w:tc>
      </w:tr>
      <w:tr w:rsidR="00993467" w:rsidRPr="00300F3C" w:rsidTr="003E010C">
        <w:trPr>
          <w:trHeight w:val="1133"/>
        </w:trPr>
        <w:tc>
          <w:tcPr>
            <w:tcW w:w="1908"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Tahoma"/>
                <w:b/>
                <w:bCs/>
                <w:sz w:val="16"/>
                <w:szCs w:val="16"/>
              </w:rPr>
            </w:pPr>
          </w:p>
          <w:p w:rsidR="00993467" w:rsidRPr="003E010C" w:rsidRDefault="00993467" w:rsidP="004E54A8">
            <w:pPr>
              <w:widowControl w:val="0"/>
              <w:rPr>
                <w:rFonts w:ascii="Verdana" w:hAnsi="Verdana" w:cs="Tahoma"/>
                <w:b/>
                <w:bCs/>
                <w:sz w:val="16"/>
                <w:szCs w:val="16"/>
              </w:rPr>
            </w:pPr>
            <w:r>
              <w:rPr>
                <w:rFonts w:ascii="Verdana" w:hAnsi="Verdana"/>
                <w:b/>
                <w:sz w:val="16"/>
              </w:rPr>
              <w:t xml:space="preserve">Čistiace prostriedky </w:t>
            </w:r>
          </w:p>
        </w:tc>
        <w:tc>
          <w:tcPr>
            <w:tcW w:w="654" w:type="dxa"/>
            <w:tcBorders>
              <w:top w:val="single" w:sz="4" w:space="0" w:color="auto"/>
              <w:bottom w:val="single" w:sz="4" w:space="0" w:color="auto"/>
            </w:tcBorders>
            <w:tcMar>
              <w:top w:w="85" w:type="dxa"/>
              <w:bottom w:w="85" w:type="dxa"/>
            </w:tcMar>
          </w:tcPr>
          <w:p w:rsidR="00993467" w:rsidRPr="003E010C" w:rsidRDefault="00993467" w:rsidP="004E54A8">
            <w:pPr>
              <w:widowControl w:val="0"/>
              <w:jc w:val="center"/>
              <w:rPr>
                <w:rFonts w:ascii="Verdana" w:hAnsi="Verdana" w:cs="Tahoma"/>
                <w:sz w:val="16"/>
                <w:szCs w:val="16"/>
              </w:rPr>
            </w:pPr>
          </w:p>
          <w:p w:rsidR="00993467" w:rsidRPr="003E010C" w:rsidRDefault="00993467" w:rsidP="004E54A8">
            <w:pPr>
              <w:widowControl w:val="0"/>
              <w:jc w:val="center"/>
              <w:rPr>
                <w:rFonts w:ascii="Verdana" w:hAnsi="Verdana" w:cs="Tahoma"/>
                <w:sz w:val="16"/>
                <w:szCs w:val="16"/>
              </w:rPr>
            </w:pPr>
            <w:r>
              <w:rPr>
                <w:rFonts w:ascii="Verdana" w:hAnsi="Verdana"/>
                <w:sz w:val="16"/>
              </w:rPr>
              <w:t>CH</w:t>
            </w:r>
          </w:p>
        </w:tc>
        <w:tc>
          <w:tcPr>
            <w:tcW w:w="948" w:type="dxa"/>
            <w:tcBorders>
              <w:top w:val="single" w:sz="4" w:space="0" w:color="auto"/>
              <w:bottom w:val="single" w:sz="4" w:space="0" w:color="auto"/>
            </w:tcBorders>
            <w:tcMar>
              <w:top w:w="85" w:type="dxa"/>
              <w:bottom w:w="85" w:type="dxa"/>
            </w:tcMar>
          </w:tcPr>
          <w:p w:rsidR="00993467" w:rsidRPr="003E010C" w:rsidRDefault="00993467" w:rsidP="004E54A8">
            <w:pPr>
              <w:widowControl w:val="0"/>
              <w:jc w:val="center"/>
              <w:rPr>
                <w:rFonts w:ascii="Verdana" w:hAnsi="Verdana" w:cs="Tahoma"/>
                <w:sz w:val="16"/>
                <w:szCs w:val="16"/>
              </w:rPr>
            </w:pPr>
          </w:p>
          <w:p w:rsidR="00993467" w:rsidRPr="003E010C" w:rsidRDefault="00FF185B" w:rsidP="004E54A8">
            <w:pPr>
              <w:widowControl w:val="0"/>
              <w:jc w:val="center"/>
              <w:rPr>
                <w:rFonts w:ascii="Verdana" w:hAnsi="Verdana" w:cs="Tahoma"/>
                <w:sz w:val="16"/>
                <w:szCs w:val="16"/>
              </w:rPr>
            </w:pPr>
            <w:r>
              <w:rPr>
                <w:rFonts w:ascii="Verdana" w:hAnsi="Verdana"/>
                <w:sz w:val="16"/>
              </w:rPr>
              <w:t>Nízka</w:t>
            </w:r>
          </w:p>
        </w:tc>
        <w:tc>
          <w:tcPr>
            <w:tcW w:w="1418" w:type="dxa"/>
            <w:tcBorders>
              <w:top w:val="single" w:sz="4" w:space="0" w:color="auto"/>
              <w:bottom w:val="single" w:sz="4" w:space="0" w:color="auto"/>
            </w:tcBorders>
            <w:tcMar>
              <w:top w:w="85" w:type="dxa"/>
              <w:bottom w:w="85" w:type="dxa"/>
            </w:tcMar>
          </w:tcPr>
          <w:p w:rsidR="00993467" w:rsidRPr="003E010C" w:rsidRDefault="00993467" w:rsidP="004E54A8">
            <w:pPr>
              <w:widowControl w:val="0"/>
              <w:jc w:val="center"/>
              <w:rPr>
                <w:rFonts w:ascii="Verdana" w:hAnsi="Verdana" w:cs="Tahoma"/>
                <w:sz w:val="16"/>
                <w:szCs w:val="16"/>
              </w:rPr>
            </w:pPr>
          </w:p>
          <w:p w:rsidR="00993467" w:rsidRPr="003E010C" w:rsidRDefault="00FF185B" w:rsidP="004E54A8">
            <w:pPr>
              <w:widowControl w:val="0"/>
              <w:jc w:val="center"/>
              <w:rPr>
                <w:rFonts w:ascii="Verdana" w:hAnsi="Verdana" w:cs="Tahoma"/>
                <w:sz w:val="16"/>
                <w:szCs w:val="16"/>
              </w:rPr>
            </w:pPr>
            <w:r>
              <w:rPr>
                <w:rFonts w:ascii="Verdana" w:hAnsi="Verdana"/>
                <w:sz w:val="16"/>
              </w:rPr>
              <w:t>Stredná</w:t>
            </w:r>
          </w:p>
        </w:tc>
        <w:tc>
          <w:tcPr>
            <w:tcW w:w="850" w:type="dxa"/>
            <w:tcBorders>
              <w:top w:val="single" w:sz="4" w:space="0" w:color="auto"/>
              <w:bottom w:val="single" w:sz="4" w:space="0" w:color="auto"/>
            </w:tcBorders>
            <w:tcMar>
              <w:top w:w="85" w:type="dxa"/>
              <w:bottom w:w="85" w:type="dxa"/>
            </w:tcMar>
          </w:tcPr>
          <w:p w:rsidR="00993467" w:rsidRPr="003E010C" w:rsidRDefault="00993467" w:rsidP="004E54A8">
            <w:pPr>
              <w:widowControl w:val="0"/>
              <w:jc w:val="center"/>
              <w:rPr>
                <w:rFonts w:ascii="Verdana" w:hAnsi="Verdana" w:cs="Tahoma"/>
                <w:sz w:val="16"/>
                <w:szCs w:val="16"/>
              </w:rPr>
            </w:pPr>
          </w:p>
          <w:p w:rsidR="00993467" w:rsidRPr="003E010C" w:rsidRDefault="00993467" w:rsidP="004E54A8">
            <w:pPr>
              <w:widowControl w:val="0"/>
              <w:jc w:val="center"/>
              <w:rPr>
                <w:rFonts w:ascii="Verdana" w:hAnsi="Verdana" w:cs="Tahoma"/>
                <w:sz w:val="16"/>
                <w:szCs w:val="16"/>
              </w:rPr>
            </w:pPr>
            <w:r>
              <w:rPr>
                <w:rFonts w:ascii="Verdana" w:hAnsi="Verdana"/>
                <w:sz w:val="16"/>
              </w:rPr>
              <w:t>2</w:t>
            </w:r>
          </w:p>
        </w:tc>
        <w:tc>
          <w:tcPr>
            <w:tcW w:w="2268"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Tahoma"/>
                <w:sz w:val="16"/>
                <w:szCs w:val="16"/>
              </w:rPr>
            </w:pPr>
          </w:p>
          <w:p w:rsidR="00993467" w:rsidRPr="003E010C" w:rsidRDefault="00993467" w:rsidP="004E54A8">
            <w:pPr>
              <w:widowControl w:val="0"/>
              <w:rPr>
                <w:rFonts w:ascii="Verdana" w:hAnsi="Verdana" w:cs="Tahoma"/>
                <w:sz w:val="16"/>
                <w:szCs w:val="16"/>
              </w:rPr>
            </w:pPr>
            <w:r>
              <w:rPr>
                <w:rFonts w:ascii="Verdana" w:hAnsi="Verdana"/>
                <w:sz w:val="16"/>
              </w:rPr>
              <w:t>Pri čistení dochádza ku kontaktu s produktom.</w:t>
            </w:r>
          </w:p>
        </w:tc>
        <w:tc>
          <w:tcPr>
            <w:tcW w:w="2127"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Tahoma"/>
                <w:sz w:val="16"/>
                <w:szCs w:val="16"/>
              </w:rPr>
            </w:pPr>
          </w:p>
        </w:tc>
        <w:tc>
          <w:tcPr>
            <w:tcW w:w="2693"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Tahoma"/>
                <w:sz w:val="16"/>
                <w:szCs w:val="16"/>
              </w:rPr>
            </w:pPr>
          </w:p>
          <w:p w:rsidR="00993467" w:rsidRPr="003E010C" w:rsidRDefault="00993467" w:rsidP="004B2FB4">
            <w:pPr>
              <w:widowControl w:val="0"/>
              <w:rPr>
                <w:rFonts w:ascii="Verdana" w:hAnsi="Verdana" w:cs="Tahoma"/>
                <w:sz w:val="16"/>
                <w:szCs w:val="16"/>
              </w:rPr>
            </w:pPr>
            <w:r>
              <w:rPr>
                <w:rFonts w:ascii="Verdana" w:hAnsi="Verdana"/>
                <w:sz w:val="16"/>
              </w:rPr>
              <w:t xml:space="preserve">Čistiace prostriedky použité vo výrobnom systéme by sa mali vypláchnuť. Na zníženie rizika na prijateľnú úroveň sa musia vyhodnotiť použité čistiace prostriedky a prijať vhodné opatrenia. </w:t>
            </w:r>
          </w:p>
        </w:tc>
        <w:tc>
          <w:tcPr>
            <w:tcW w:w="1843"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Arial Narrow"/>
                <w:sz w:val="16"/>
                <w:szCs w:val="16"/>
              </w:rPr>
            </w:pPr>
          </w:p>
          <w:p w:rsidR="004B2FB4" w:rsidRPr="003E010C" w:rsidRDefault="004B2FB4" w:rsidP="004E54A8">
            <w:pPr>
              <w:widowControl w:val="0"/>
              <w:rPr>
                <w:rFonts w:ascii="Verdana" w:hAnsi="Verdana" w:cs="Arial Narrow"/>
                <w:sz w:val="16"/>
                <w:szCs w:val="16"/>
              </w:rPr>
            </w:pPr>
            <w:r>
              <w:rPr>
                <w:rFonts w:ascii="Verdana" w:hAnsi="Verdana"/>
                <w:sz w:val="16"/>
              </w:rPr>
              <w:t>Nejde o bežné riziko, keďže vo väčšine výrobných zariadení sa používa kontinuálny proces.</w:t>
            </w:r>
          </w:p>
        </w:tc>
      </w:tr>
      <w:tr w:rsidR="00993467" w:rsidRPr="00300F3C" w:rsidTr="00494D0C">
        <w:trPr>
          <w:trHeight w:val="479"/>
        </w:trPr>
        <w:tc>
          <w:tcPr>
            <w:tcW w:w="1908"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Tahoma"/>
                <w:b/>
                <w:bCs/>
                <w:sz w:val="16"/>
                <w:szCs w:val="16"/>
              </w:rPr>
            </w:pPr>
            <w:r>
              <w:rPr>
                <w:rFonts w:ascii="Verdana" w:hAnsi="Verdana"/>
                <w:b/>
                <w:sz w:val="16"/>
              </w:rPr>
              <w:t>Vletené vtáky</w:t>
            </w:r>
          </w:p>
        </w:tc>
        <w:tc>
          <w:tcPr>
            <w:tcW w:w="654" w:type="dxa"/>
            <w:tcBorders>
              <w:top w:val="single" w:sz="4" w:space="0" w:color="auto"/>
              <w:bottom w:val="single" w:sz="4" w:space="0" w:color="auto"/>
            </w:tcBorders>
            <w:tcMar>
              <w:top w:w="85" w:type="dxa"/>
              <w:bottom w:w="85" w:type="dxa"/>
            </w:tcMar>
          </w:tcPr>
          <w:p w:rsidR="00993467" w:rsidRPr="003E010C" w:rsidRDefault="00993467" w:rsidP="004E54A8">
            <w:pPr>
              <w:widowControl w:val="0"/>
              <w:jc w:val="center"/>
              <w:rPr>
                <w:rFonts w:ascii="Verdana" w:hAnsi="Verdana" w:cs="Tahoma"/>
                <w:sz w:val="16"/>
                <w:szCs w:val="16"/>
              </w:rPr>
            </w:pPr>
            <w:r>
              <w:rPr>
                <w:rFonts w:ascii="Verdana" w:hAnsi="Verdana"/>
                <w:sz w:val="16"/>
              </w:rPr>
              <w:t>B</w:t>
            </w:r>
          </w:p>
        </w:tc>
        <w:tc>
          <w:tcPr>
            <w:tcW w:w="948" w:type="dxa"/>
            <w:tcBorders>
              <w:top w:val="single" w:sz="4" w:space="0" w:color="auto"/>
              <w:bottom w:val="single" w:sz="4" w:space="0" w:color="auto"/>
            </w:tcBorders>
            <w:tcMar>
              <w:top w:w="85" w:type="dxa"/>
              <w:bottom w:w="85" w:type="dxa"/>
            </w:tcMar>
          </w:tcPr>
          <w:p w:rsidR="00993467" w:rsidRPr="003E010C" w:rsidRDefault="004A2A8A" w:rsidP="004E54A8">
            <w:pPr>
              <w:widowControl w:val="0"/>
              <w:jc w:val="center"/>
              <w:rPr>
                <w:rFonts w:ascii="Verdana" w:hAnsi="Verdana" w:cs="Tahoma"/>
                <w:sz w:val="16"/>
                <w:szCs w:val="16"/>
              </w:rPr>
            </w:pPr>
            <w:r>
              <w:rPr>
                <w:rFonts w:ascii="Verdana" w:hAnsi="Verdana"/>
                <w:sz w:val="16"/>
              </w:rPr>
              <w:t xml:space="preserve"> Nízka</w:t>
            </w:r>
          </w:p>
        </w:tc>
        <w:tc>
          <w:tcPr>
            <w:tcW w:w="1418" w:type="dxa"/>
            <w:tcBorders>
              <w:top w:val="single" w:sz="4" w:space="0" w:color="auto"/>
              <w:bottom w:val="single" w:sz="4" w:space="0" w:color="auto"/>
            </w:tcBorders>
            <w:tcMar>
              <w:top w:w="85" w:type="dxa"/>
              <w:bottom w:w="85" w:type="dxa"/>
            </w:tcMar>
          </w:tcPr>
          <w:p w:rsidR="00993467" w:rsidRPr="003E010C" w:rsidRDefault="00993467" w:rsidP="004E54A8">
            <w:pPr>
              <w:widowControl w:val="0"/>
              <w:jc w:val="center"/>
              <w:rPr>
                <w:rFonts w:ascii="Verdana" w:hAnsi="Verdana" w:cs="Tahoma"/>
                <w:sz w:val="16"/>
                <w:szCs w:val="16"/>
              </w:rPr>
            </w:pPr>
            <w:r>
              <w:rPr>
                <w:rFonts w:ascii="Verdana" w:hAnsi="Verdana"/>
                <w:sz w:val="16"/>
              </w:rPr>
              <w:t>Stredná</w:t>
            </w:r>
          </w:p>
        </w:tc>
        <w:tc>
          <w:tcPr>
            <w:tcW w:w="850" w:type="dxa"/>
            <w:tcBorders>
              <w:top w:val="single" w:sz="4" w:space="0" w:color="auto"/>
              <w:bottom w:val="single" w:sz="4" w:space="0" w:color="auto"/>
            </w:tcBorders>
            <w:shd w:val="clear" w:color="auto" w:fill="auto"/>
            <w:tcMar>
              <w:top w:w="85" w:type="dxa"/>
              <w:bottom w:w="85" w:type="dxa"/>
            </w:tcMar>
          </w:tcPr>
          <w:p w:rsidR="00993467" w:rsidRPr="003E010C" w:rsidRDefault="004A2A8A" w:rsidP="004E54A8">
            <w:pPr>
              <w:widowControl w:val="0"/>
              <w:jc w:val="center"/>
              <w:rPr>
                <w:rFonts w:ascii="Verdana" w:hAnsi="Verdana" w:cs="Tahoma"/>
                <w:sz w:val="16"/>
                <w:szCs w:val="16"/>
              </w:rPr>
            </w:pPr>
            <w:r>
              <w:rPr>
                <w:rFonts w:ascii="Verdana" w:hAnsi="Verdana"/>
                <w:sz w:val="16"/>
              </w:rPr>
              <w:t>2</w:t>
            </w:r>
          </w:p>
        </w:tc>
        <w:tc>
          <w:tcPr>
            <w:tcW w:w="2268"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Tahoma"/>
                <w:sz w:val="16"/>
                <w:szCs w:val="16"/>
              </w:rPr>
            </w:pPr>
          </w:p>
        </w:tc>
        <w:tc>
          <w:tcPr>
            <w:tcW w:w="2127"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Tahoma"/>
                <w:sz w:val="16"/>
                <w:szCs w:val="16"/>
              </w:rPr>
            </w:pPr>
          </w:p>
        </w:tc>
        <w:tc>
          <w:tcPr>
            <w:tcW w:w="2693" w:type="dxa"/>
            <w:tcBorders>
              <w:top w:val="single" w:sz="4" w:space="0" w:color="auto"/>
              <w:bottom w:val="single" w:sz="4" w:space="0" w:color="auto"/>
            </w:tcBorders>
            <w:tcMar>
              <w:top w:w="85" w:type="dxa"/>
              <w:bottom w:w="85" w:type="dxa"/>
            </w:tcMar>
          </w:tcPr>
          <w:p w:rsidR="00993467" w:rsidRPr="003E010C" w:rsidRDefault="00993467" w:rsidP="004E54A8">
            <w:pPr>
              <w:widowControl w:val="0"/>
              <w:rPr>
                <w:rFonts w:ascii="Verdana" w:hAnsi="Verdana" w:cs="Tahoma"/>
                <w:sz w:val="16"/>
                <w:szCs w:val="16"/>
              </w:rPr>
            </w:pPr>
          </w:p>
        </w:tc>
        <w:tc>
          <w:tcPr>
            <w:tcW w:w="1843" w:type="dxa"/>
            <w:tcBorders>
              <w:top w:val="single" w:sz="4" w:space="0" w:color="auto"/>
              <w:bottom w:val="single" w:sz="4" w:space="0" w:color="auto"/>
            </w:tcBorders>
            <w:tcMar>
              <w:top w:w="85" w:type="dxa"/>
              <w:bottom w:w="85" w:type="dxa"/>
            </w:tcMar>
          </w:tcPr>
          <w:p w:rsidR="00993467" w:rsidRPr="003E010C" w:rsidRDefault="004A2A8A" w:rsidP="004A2A8A">
            <w:pPr>
              <w:widowControl w:val="0"/>
              <w:rPr>
                <w:rFonts w:ascii="Verdana" w:hAnsi="Verdana" w:cs="Arial Narrow"/>
                <w:sz w:val="16"/>
                <w:szCs w:val="16"/>
              </w:rPr>
            </w:pPr>
            <w:r>
              <w:rPr>
                <w:rFonts w:ascii="Verdana" w:hAnsi="Verdana"/>
                <w:sz w:val="16"/>
              </w:rPr>
              <w:t>Tomuto nebezpečenstvu možno zabrániť uzatvorenou budovou.</w:t>
            </w:r>
          </w:p>
        </w:tc>
      </w:tr>
      <w:tr w:rsidR="00993467" w:rsidRPr="00300F3C" w:rsidTr="003E010C">
        <w:trPr>
          <w:trHeight w:val="816"/>
        </w:trPr>
        <w:tc>
          <w:tcPr>
            <w:tcW w:w="1908"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E010C" w:rsidRDefault="00993467" w:rsidP="004E54A8">
            <w:pPr>
              <w:widowControl w:val="0"/>
              <w:rPr>
                <w:rFonts w:ascii="Verdana" w:hAnsi="Verdana" w:cs="Tahoma"/>
                <w:b/>
                <w:bCs/>
                <w:sz w:val="16"/>
                <w:szCs w:val="16"/>
              </w:rPr>
            </w:pPr>
            <w:r>
              <w:rPr>
                <w:rFonts w:ascii="Verdana" w:hAnsi="Verdana"/>
                <w:b/>
                <w:sz w:val="16"/>
              </w:rPr>
              <w:t>Toxíny z látok používaných na ochranu pred škodcami</w:t>
            </w:r>
          </w:p>
          <w:p w:rsidR="00993467" w:rsidRPr="003E010C" w:rsidRDefault="00993467" w:rsidP="004E54A8">
            <w:pPr>
              <w:widowControl w:val="0"/>
              <w:rPr>
                <w:rFonts w:ascii="Verdana" w:hAnsi="Verdana" w:cs="Tahoma"/>
                <w:b/>
                <w:bCs/>
                <w:sz w:val="16"/>
                <w:szCs w:val="16"/>
              </w:rPr>
            </w:pPr>
          </w:p>
          <w:p w:rsidR="00993467" w:rsidRPr="003E010C" w:rsidRDefault="00993467" w:rsidP="004E54A8">
            <w:pPr>
              <w:widowControl w:val="0"/>
              <w:rPr>
                <w:rFonts w:ascii="Verdana" w:hAnsi="Verdana" w:cs="Tahoma"/>
                <w:b/>
                <w:bCs/>
                <w:sz w:val="16"/>
                <w:szCs w:val="16"/>
              </w:rPr>
            </w:pPr>
          </w:p>
        </w:tc>
        <w:tc>
          <w:tcPr>
            <w:tcW w:w="654"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E010C" w:rsidRDefault="00993467" w:rsidP="004E54A8">
            <w:pPr>
              <w:widowControl w:val="0"/>
              <w:jc w:val="center"/>
              <w:rPr>
                <w:rFonts w:ascii="Verdana" w:hAnsi="Verdana" w:cs="Tahoma"/>
                <w:sz w:val="16"/>
                <w:szCs w:val="16"/>
              </w:rPr>
            </w:pPr>
            <w:r>
              <w:rPr>
                <w:rFonts w:ascii="Verdana" w:hAnsi="Verdana"/>
                <w:sz w:val="16"/>
              </w:rPr>
              <w:t>CH</w:t>
            </w:r>
          </w:p>
          <w:p w:rsidR="00993467" w:rsidRPr="003E010C" w:rsidRDefault="00993467" w:rsidP="00DC50EA">
            <w:pPr>
              <w:widowControl w:val="0"/>
              <w:rPr>
                <w:rFonts w:ascii="Verdana" w:hAnsi="Verdana" w:cs="Tahoma"/>
                <w:sz w:val="16"/>
                <w:szCs w:val="16"/>
              </w:rPr>
            </w:pPr>
          </w:p>
        </w:tc>
        <w:tc>
          <w:tcPr>
            <w:tcW w:w="948"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E010C" w:rsidRDefault="00FF185B" w:rsidP="004E54A8">
            <w:pPr>
              <w:widowControl w:val="0"/>
              <w:jc w:val="center"/>
              <w:rPr>
                <w:rFonts w:ascii="Verdana" w:hAnsi="Verdana" w:cs="Tahoma"/>
                <w:sz w:val="16"/>
                <w:szCs w:val="16"/>
              </w:rPr>
            </w:pPr>
            <w:r>
              <w:rPr>
                <w:rFonts w:ascii="Verdana" w:hAnsi="Verdana"/>
                <w:sz w:val="16"/>
              </w:rPr>
              <w:t>Veľmi nízka</w:t>
            </w:r>
          </w:p>
          <w:p w:rsidR="00993467" w:rsidRPr="003E010C" w:rsidRDefault="00993467" w:rsidP="00DC50EA">
            <w:pPr>
              <w:widowControl w:val="0"/>
              <w:rPr>
                <w:rFonts w:ascii="Verdana" w:hAnsi="Verdana" w:cs="Tahoma"/>
                <w:sz w:val="16"/>
                <w:szCs w:val="16"/>
              </w:rPr>
            </w:pPr>
          </w:p>
        </w:tc>
        <w:tc>
          <w:tcPr>
            <w:tcW w:w="1418"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E010C" w:rsidRDefault="00993467" w:rsidP="004E54A8">
            <w:pPr>
              <w:widowControl w:val="0"/>
              <w:jc w:val="center"/>
              <w:rPr>
                <w:rFonts w:ascii="Verdana" w:hAnsi="Verdana" w:cs="Tahoma"/>
                <w:sz w:val="16"/>
                <w:szCs w:val="16"/>
              </w:rPr>
            </w:pPr>
            <w:r>
              <w:rPr>
                <w:rFonts w:ascii="Verdana" w:hAnsi="Verdana"/>
                <w:sz w:val="16"/>
              </w:rPr>
              <w:t>Vysoká</w:t>
            </w:r>
          </w:p>
          <w:p w:rsidR="00993467" w:rsidRPr="003E010C" w:rsidRDefault="00993467" w:rsidP="00DC50EA">
            <w:pPr>
              <w:widowControl w:val="0"/>
              <w:rPr>
                <w:rFonts w:ascii="Verdana" w:hAnsi="Verdana" w:cs="Tahoma"/>
                <w:sz w:val="16"/>
                <w:szCs w:val="16"/>
              </w:rPr>
            </w:pPr>
          </w:p>
        </w:tc>
        <w:tc>
          <w:tcPr>
            <w:tcW w:w="850"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E010C" w:rsidRDefault="00993467" w:rsidP="004E54A8">
            <w:pPr>
              <w:widowControl w:val="0"/>
              <w:jc w:val="center"/>
              <w:rPr>
                <w:rFonts w:ascii="Verdana" w:hAnsi="Verdana" w:cs="Tahoma"/>
                <w:sz w:val="16"/>
                <w:szCs w:val="16"/>
              </w:rPr>
            </w:pPr>
            <w:r>
              <w:rPr>
                <w:rFonts w:ascii="Verdana" w:hAnsi="Verdana"/>
                <w:sz w:val="16"/>
              </w:rPr>
              <w:t>2</w:t>
            </w:r>
          </w:p>
          <w:p w:rsidR="00993467" w:rsidRPr="003E010C" w:rsidRDefault="00993467" w:rsidP="004E54A8">
            <w:pPr>
              <w:widowControl w:val="0"/>
              <w:jc w:val="center"/>
              <w:rPr>
                <w:rFonts w:ascii="Verdana" w:hAnsi="Verdana" w:cs="Tahoma"/>
                <w:sz w:val="16"/>
                <w:szCs w:val="16"/>
              </w:rPr>
            </w:pPr>
          </w:p>
          <w:p w:rsidR="00993467" w:rsidRPr="003E010C" w:rsidRDefault="00993467" w:rsidP="00DC50EA">
            <w:pPr>
              <w:widowControl w:val="0"/>
              <w:rPr>
                <w:rFonts w:ascii="Verdana" w:hAnsi="Verdana" w:cs="Tahoma"/>
                <w:sz w:val="16"/>
                <w:szCs w:val="16"/>
              </w:rPr>
            </w:pPr>
          </w:p>
        </w:tc>
        <w:tc>
          <w:tcPr>
            <w:tcW w:w="2268"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E010C" w:rsidRDefault="00993467" w:rsidP="006221FD">
            <w:pPr>
              <w:widowControl w:val="0"/>
              <w:rPr>
                <w:rFonts w:ascii="Verdana" w:hAnsi="Verdana" w:cs="Tahoma"/>
                <w:sz w:val="16"/>
                <w:szCs w:val="16"/>
              </w:rPr>
            </w:pPr>
            <w:r>
              <w:rPr>
                <w:rFonts w:ascii="Verdana" w:hAnsi="Verdana"/>
                <w:sz w:val="16"/>
              </w:rPr>
              <w:t>Jedovatá návnada z otvorených škatúľ by mohla spôsobiť krížovú kontamináciu.</w:t>
            </w:r>
          </w:p>
        </w:tc>
        <w:tc>
          <w:tcPr>
            <w:tcW w:w="2127"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E010C" w:rsidRDefault="00993467" w:rsidP="004E54A8">
            <w:pPr>
              <w:widowControl w:val="0"/>
              <w:rPr>
                <w:rFonts w:ascii="Verdana" w:hAnsi="Verdana" w:cs="Tahoma"/>
                <w:i/>
                <w:iCs/>
                <w:color w:val="0000FF"/>
                <w:sz w:val="16"/>
                <w:szCs w:val="16"/>
              </w:rPr>
            </w:pPr>
          </w:p>
        </w:tc>
        <w:tc>
          <w:tcPr>
            <w:tcW w:w="2693"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E010C" w:rsidRDefault="00993467" w:rsidP="00F9305F">
            <w:pPr>
              <w:widowControl w:val="0"/>
              <w:rPr>
                <w:rFonts w:ascii="Verdana" w:hAnsi="Verdana" w:cs="Tahoma"/>
                <w:sz w:val="16"/>
                <w:szCs w:val="16"/>
              </w:rPr>
            </w:pPr>
            <w:r>
              <w:rPr>
                <w:rFonts w:ascii="Verdana" w:hAnsi="Verdana"/>
                <w:sz w:val="16"/>
              </w:rPr>
              <w:t xml:space="preserve">Musí sa vykonávať program na ochranu pred škodcami. Mali by sa prijať vhodné opatrenia na minimalizáciu rizika. </w:t>
            </w:r>
          </w:p>
        </w:tc>
        <w:tc>
          <w:tcPr>
            <w:tcW w:w="1843" w:type="dxa"/>
            <w:tcBorders>
              <w:top w:val="single" w:sz="4" w:space="0" w:color="auto"/>
              <w:left w:val="single" w:sz="4" w:space="0" w:color="auto"/>
              <w:bottom w:val="single" w:sz="4" w:space="0" w:color="auto"/>
              <w:right w:val="single" w:sz="4" w:space="0" w:color="auto"/>
            </w:tcBorders>
            <w:tcMar>
              <w:top w:w="85" w:type="dxa"/>
              <w:bottom w:w="85" w:type="dxa"/>
            </w:tcMar>
          </w:tcPr>
          <w:p w:rsidR="00993467" w:rsidRPr="003E010C" w:rsidRDefault="00993467" w:rsidP="004E54A8">
            <w:pPr>
              <w:widowControl w:val="0"/>
              <w:rPr>
                <w:rFonts w:ascii="Verdana" w:hAnsi="Verdana" w:cs="Arial Narrow"/>
                <w:sz w:val="16"/>
                <w:szCs w:val="16"/>
              </w:rPr>
            </w:pPr>
          </w:p>
          <w:p w:rsidR="00993467" w:rsidRPr="003E010C" w:rsidRDefault="00993467" w:rsidP="004E54A8">
            <w:pPr>
              <w:widowControl w:val="0"/>
              <w:rPr>
                <w:rFonts w:ascii="Verdana" w:hAnsi="Verdana" w:cs="Arial Narrow"/>
                <w:sz w:val="16"/>
                <w:szCs w:val="16"/>
              </w:rPr>
            </w:pPr>
          </w:p>
        </w:tc>
      </w:tr>
      <w:tr w:rsidR="00DC50EA" w:rsidRPr="00300F3C" w:rsidTr="00494D0C">
        <w:trPr>
          <w:trHeight w:val="751"/>
        </w:trPr>
        <w:tc>
          <w:tcPr>
            <w:tcW w:w="1908" w:type="dxa"/>
            <w:tcBorders>
              <w:top w:val="single" w:sz="4" w:space="0" w:color="auto"/>
              <w:bottom w:val="single" w:sz="4" w:space="0" w:color="auto"/>
            </w:tcBorders>
            <w:shd w:val="clear" w:color="auto" w:fill="auto"/>
            <w:tcMar>
              <w:top w:w="85" w:type="dxa"/>
              <w:bottom w:w="85" w:type="dxa"/>
            </w:tcMar>
          </w:tcPr>
          <w:p w:rsidR="00DC50EA" w:rsidRPr="003E010C" w:rsidRDefault="00DC50EA" w:rsidP="00DC50EA">
            <w:pPr>
              <w:widowControl w:val="0"/>
              <w:rPr>
                <w:rFonts w:ascii="Verdana" w:hAnsi="Verdana" w:cs="Tahoma"/>
                <w:b/>
                <w:bCs/>
                <w:sz w:val="16"/>
                <w:szCs w:val="16"/>
              </w:rPr>
            </w:pPr>
            <w:r>
              <w:rPr>
                <w:rFonts w:ascii="Verdana" w:hAnsi="Verdana"/>
                <w:b/>
                <w:sz w:val="16"/>
              </w:rPr>
              <w:t>Mazivá</w:t>
            </w:r>
          </w:p>
          <w:p w:rsidR="00DC50EA" w:rsidRPr="003E010C" w:rsidRDefault="00DC50EA" w:rsidP="004E54A8">
            <w:pPr>
              <w:widowControl w:val="0"/>
              <w:rPr>
                <w:rFonts w:ascii="Verdana" w:hAnsi="Verdana" w:cs="Tahoma"/>
                <w:b/>
                <w:bCs/>
                <w:sz w:val="16"/>
                <w:szCs w:val="16"/>
              </w:rPr>
            </w:pPr>
          </w:p>
        </w:tc>
        <w:tc>
          <w:tcPr>
            <w:tcW w:w="654" w:type="dxa"/>
            <w:tcBorders>
              <w:top w:val="single" w:sz="4" w:space="0" w:color="auto"/>
              <w:bottom w:val="single" w:sz="4" w:space="0" w:color="auto"/>
            </w:tcBorders>
            <w:shd w:val="clear" w:color="auto" w:fill="auto"/>
            <w:tcMar>
              <w:top w:w="85" w:type="dxa"/>
              <w:bottom w:w="85" w:type="dxa"/>
            </w:tcMar>
          </w:tcPr>
          <w:p w:rsidR="00DC50EA" w:rsidRPr="003E010C" w:rsidRDefault="00DC50EA" w:rsidP="004E54A8">
            <w:pPr>
              <w:widowControl w:val="0"/>
              <w:jc w:val="center"/>
              <w:rPr>
                <w:rFonts w:ascii="Verdana" w:hAnsi="Verdana" w:cs="Tahoma"/>
                <w:sz w:val="16"/>
                <w:szCs w:val="16"/>
              </w:rPr>
            </w:pPr>
            <w:r>
              <w:rPr>
                <w:rFonts w:ascii="Verdana" w:hAnsi="Verdana"/>
                <w:sz w:val="16"/>
              </w:rPr>
              <w:t>CH</w:t>
            </w:r>
          </w:p>
        </w:tc>
        <w:tc>
          <w:tcPr>
            <w:tcW w:w="948" w:type="dxa"/>
            <w:tcBorders>
              <w:top w:val="single" w:sz="4" w:space="0" w:color="auto"/>
              <w:bottom w:val="single" w:sz="4" w:space="0" w:color="auto"/>
            </w:tcBorders>
            <w:shd w:val="clear" w:color="auto" w:fill="auto"/>
            <w:tcMar>
              <w:top w:w="85" w:type="dxa"/>
              <w:bottom w:w="85" w:type="dxa"/>
            </w:tcMar>
          </w:tcPr>
          <w:p w:rsidR="00DC50EA" w:rsidRPr="003E010C" w:rsidRDefault="00DC50EA" w:rsidP="00D13F48">
            <w:pPr>
              <w:widowControl w:val="0"/>
              <w:jc w:val="center"/>
              <w:rPr>
                <w:rFonts w:ascii="Verdana" w:hAnsi="Verdana" w:cs="Tahoma"/>
                <w:sz w:val="16"/>
                <w:szCs w:val="16"/>
              </w:rPr>
            </w:pPr>
            <w:r>
              <w:rPr>
                <w:rFonts w:ascii="Verdana" w:hAnsi="Verdana"/>
                <w:sz w:val="16"/>
              </w:rPr>
              <w:t>Nízka</w:t>
            </w:r>
          </w:p>
        </w:tc>
        <w:tc>
          <w:tcPr>
            <w:tcW w:w="1418" w:type="dxa"/>
            <w:tcBorders>
              <w:top w:val="single" w:sz="4" w:space="0" w:color="auto"/>
              <w:bottom w:val="single" w:sz="4" w:space="0" w:color="auto"/>
            </w:tcBorders>
            <w:shd w:val="clear" w:color="auto" w:fill="auto"/>
            <w:tcMar>
              <w:top w:w="85" w:type="dxa"/>
              <w:bottom w:w="85" w:type="dxa"/>
            </w:tcMar>
          </w:tcPr>
          <w:p w:rsidR="00DC50EA" w:rsidRPr="003E010C" w:rsidRDefault="004A2A8A" w:rsidP="004E54A8">
            <w:pPr>
              <w:widowControl w:val="0"/>
              <w:jc w:val="center"/>
              <w:rPr>
                <w:rFonts w:ascii="Verdana" w:hAnsi="Verdana" w:cs="Tahoma"/>
                <w:sz w:val="16"/>
                <w:szCs w:val="16"/>
              </w:rPr>
            </w:pPr>
            <w:r>
              <w:rPr>
                <w:rFonts w:ascii="Verdana" w:hAnsi="Verdana"/>
                <w:sz w:val="16"/>
              </w:rPr>
              <w:t xml:space="preserve"> Vysoká</w:t>
            </w:r>
          </w:p>
        </w:tc>
        <w:tc>
          <w:tcPr>
            <w:tcW w:w="850" w:type="dxa"/>
            <w:tcBorders>
              <w:top w:val="single" w:sz="4" w:space="0" w:color="auto"/>
              <w:bottom w:val="single" w:sz="4" w:space="0" w:color="auto"/>
            </w:tcBorders>
            <w:shd w:val="clear" w:color="auto" w:fill="FFC000"/>
            <w:tcMar>
              <w:top w:w="85" w:type="dxa"/>
              <w:bottom w:w="85" w:type="dxa"/>
            </w:tcMar>
          </w:tcPr>
          <w:p w:rsidR="00DC50EA" w:rsidRPr="003E010C" w:rsidRDefault="00494D0C" w:rsidP="00494D0C">
            <w:pPr>
              <w:widowControl w:val="0"/>
              <w:jc w:val="center"/>
              <w:rPr>
                <w:rFonts w:ascii="Verdana" w:hAnsi="Verdana" w:cs="Tahoma"/>
                <w:sz w:val="16"/>
                <w:szCs w:val="16"/>
              </w:rPr>
            </w:pPr>
            <w:r>
              <w:rPr>
                <w:rFonts w:ascii="Verdana" w:hAnsi="Verdana"/>
                <w:sz w:val="16"/>
              </w:rPr>
              <w:t>3</w:t>
            </w:r>
          </w:p>
        </w:tc>
        <w:tc>
          <w:tcPr>
            <w:tcW w:w="2268" w:type="dxa"/>
            <w:tcBorders>
              <w:top w:val="single" w:sz="4" w:space="0" w:color="auto"/>
              <w:bottom w:val="single" w:sz="4" w:space="0" w:color="auto"/>
            </w:tcBorders>
            <w:shd w:val="clear" w:color="auto" w:fill="auto"/>
            <w:tcMar>
              <w:top w:w="85" w:type="dxa"/>
              <w:bottom w:w="85" w:type="dxa"/>
            </w:tcMar>
          </w:tcPr>
          <w:p w:rsidR="00DC50EA" w:rsidRPr="003E010C" w:rsidRDefault="00DC50EA" w:rsidP="004E54A8">
            <w:pPr>
              <w:widowControl w:val="0"/>
              <w:rPr>
                <w:rFonts w:ascii="Verdana" w:hAnsi="Verdana" w:cs="Tahoma"/>
                <w:sz w:val="16"/>
                <w:szCs w:val="16"/>
              </w:rPr>
            </w:pPr>
          </w:p>
        </w:tc>
        <w:tc>
          <w:tcPr>
            <w:tcW w:w="2127" w:type="dxa"/>
            <w:tcBorders>
              <w:top w:val="single" w:sz="4" w:space="0" w:color="auto"/>
              <w:bottom w:val="single" w:sz="4" w:space="0" w:color="auto"/>
            </w:tcBorders>
            <w:shd w:val="clear" w:color="auto" w:fill="auto"/>
            <w:tcMar>
              <w:top w:w="85" w:type="dxa"/>
              <w:bottom w:w="85" w:type="dxa"/>
            </w:tcMar>
          </w:tcPr>
          <w:p w:rsidR="00DC50EA" w:rsidRPr="003E010C" w:rsidRDefault="00DC50EA" w:rsidP="004E54A8">
            <w:pPr>
              <w:widowControl w:val="0"/>
              <w:rPr>
                <w:rFonts w:ascii="Verdana" w:hAnsi="Verdana" w:cs="Tahoma"/>
                <w:i/>
                <w:iCs/>
                <w:color w:val="0000FF"/>
                <w:sz w:val="16"/>
                <w:szCs w:val="16"/>
              </w:rPr>
            </w:pPr>
          </w:p>
        </w:tc>
        <w:tc>
          <w:tcPr>
            <w:tcW w:w="2693" w:type="dxa"/>
            <w:tcBorders>
              <w:top w:val="single" w:sz="4" w:space="0" w:color="auto"/>
              <w:bottom w:val="single" w:sz="4" w:space="0" w:color="auto"/>
            </w:tcBorders>
            <w:shd w:val="clear" w:color="auto" w:fill="auto"/>
            <w:tcMar>
              <w:top w:w="85" w:type="dxa"/>
              <w:bottom w:w="85" w:type="dxa"/>
            </w:tcMar>
          </w:tcPr>
          <w:p w:rsidR="00DC50EA" w:rsidRPr="003E010C" w:rsidRDefault="00DC50EA" w:rsidP="006221FD">
            <w:pPr>
              <w:widowControl w:val="0"/>
              <w:rPr>
                <w:rFonts w:ascii="Verdana" w:hAnsi="Verdana" w:cs="Tahoma"/>
                <w:sz w:val="16"/>
                <w:szCs w:val="16"/>
              </w:rPr>
            </w:pPr>
            <w:r>
              <w:rPr>
                <w:rFonts w:ascii="Verdana" w:hAnsi="Verdana"/>
                <w:sz w:val="16"/>
              </w:rPr>
              <w:t>Na zníženie rizika na prijateľnú úroveň je potrebné vopred vyhodnotiť použitie maziva a prijať vhodné opatrenia.</w:t>
            </w:r>
          </w:p>
        </w:tc>
        <w:tc>
          <w:tcPr>
            <w:tcW w:w="1843" w:type="dxa"/>
            <w:tcBorders>
              <w:top w:val="single" w:sz="4" w:space="0" w:color="auto"/>
              <w:bottom w:val="single" w:sz="4" w:space="0" w:color="auto"/>
            </w:tcBorders>
            <w:shd w:val="clear" w:color="auto" w:fill="auto"/>
            <w:tcMar>
              <w:top w:w="85" w:type="dxa"/>
              <w:bottom w:w="85" w:type="dxa"/>
            </w:tcMar>
          </w:tcPr>
          <w:p w:rsidR="00DC50EA" w:rsidRPr="003E010C" w:rsidRDefault="00DC50EA" w:rsidP="004E54A8">
            <w:pPr>
              <w:widowControl w:val="0"/>
              <w:rPr>
                <w:rFonts w:ascii="Verdana" w:hAnsi="Verdana" w:cs="Arial Narrow"/>
                <w:sz w:val="16"/>
                <w:szCs w:val="16"/>
              </w:rPr>
            </w:pPr>
            <w:r>
              <w:rPr>
                <w:rFonts w:ascii="Verdana" w:hAnsi="Verdana"/>
                <w:sz w:val="16"/>
              </w:rPr>
              <w:t>Nákupné špecifikácie. Riziko je nízke, lebo oleje sa pred použitím kontrolujú.</w:t>
            </w:r>
          </w:p>
        </w:tc>
      </w:tr>
      <w:tr w:rsidR="00993467" w:rsidRPr="00300F3C" w:rsidTr="003E010C">
        <w:trPr>
          <w:trHeight w:val="751"/>
        </w:trPr>
        <w:tc>
          <w:tcPr>
            <w:tcW w:w="1908" w:type="dxa"/>
            <w:tcBorders>
              <w:top w:val="single" w:sz="4" w:space="0" w:color="auto"/>
              <w:bottom w:val="single" w:sz="4" w:space="0" w:color="auto"/>
            </w:tcBorders>
            <w:shd w:val="clear" w:color="auto" w:fill="auto"/>
            <w:tcMar>
              <w:top w:w="85" w:type="dxa"/>
              <w:bottom w:w="85" w:type="dxa"/>
            </w:tcMar>
          </w:tcPr>
          <w:p w:rsidR="00993467" w:rsidRPr="003E010C" w:rsidRDefault="00993467" w:rsidP="004E54A8">
            <w:pPr>
              <w:widowControl w:val="0"/>
              <w:rPr>
                <w:rFonts w:ascii="Verdana" w:hAnsi="Verdana" w:cs="Tahoma"/>
                <w:b/>
                <w:bCs/>
                <w:sz w:val="16"/>
                <w:szCs w:val="16"/>
              </w:rPr>
            </w:pPr>
            <w:r>
              <w:rPr>
                <w:rFonts w:ascii="Verdana" w:hAnsi="Verdana"/>
                <w:b/>
                <w:sz w:val="16"/>
              </w:rPr>
              <w:lastRenderedPageBreak/>
              <w:t>Hmyz a hlodavce</w:t>
            </w:r>
          </w:p>
        </w:tc>
        <w:tc>
          <w:tcPr>
            <w:tcW w:w="654" w:type="dxa"/>
            <w:tcBorders>
              <w:top w:val="single" w:sz="4" w:space="0" w:color="auto"/>
              <w:bottom w:val="single" w:sz="4" w:space="0" w:color="auto"/>
            </w:tcBorders>
            <w:shd w:val="clear" w:color="auto" w:fill="auto"/>
            <w:tcMar>
              <w:top w:w="85" w:type="dxa"/>
              <w:bottom w:w="85" w:type="dxa"/>
            </w:tcMar>
          </w:tcPr>
          <w:p w:rsidR="00993467" w:rsidRPr="003E010C" w:rsidRDefault="00993467" w:rsidP="004E54A8">
            <w:pPr>
              <w:widowControl w:val="0"/>
              <w:jc w:val="center"/>
              <w:rPr>
                <w:rFonts w:ascii="Verdana" w:hAnsi="Verdana" w:cs="Tahoma"/>
                <w:sz w:val="16"/>
                <w:szCs w:val="16"/>
              </w:rPr>
            </w:pPr>
            <w:r>
              <w:rPr>
                <w:rFonts w:ascii="Verdana" w:hAnsi="Verdana"/>
                <w:sz w:val="16"/>
              </w:rPr>
              <w:t>B</w:t>
            </w:r>
          </w:p>
        </w:tc>
        <w:tc>
          <w:tcPr>
            <w:tcW w:w="948" w:type="dxa"/>
            <w:tcBorders>
              <w:top w:val="single" w:sz="4" w:space="0" w:color="auto"/>
              <w:bottom w:val="single" w:sz="4" w:space="0" w:color="auto"/>
            </w:tcBorders>
            <w:shd w:val="clear" w:color="auto" w:fill="auto"/>
            <w:tcMar>
              <w:top w:w="85" w:type="dxa"/>
              <w:bottom w:w="85" w:type="dxa"/>
            </w:tcMar>
          </w:tcPr>
          <w:p w:rsidR="00993467" w:rsidRPr="003E010C" w:rsidRDefault="00993467" w:rsidP="004E54A8">
            <w:pPr>
              <w:widowControl w:val="0"/>
              <w:jc w:val="center"/>
              <w:rPr>
                <w:rFonts w:ascii="Verdana" w:hAnsi="Verdana" w:cs="Tahoma"/>
                <w:sz w:val="16"/>
                <w:szCs w:val="16"/>
              </w:rPr>
            </w:pPr>
            <w:r>
              <w:rPr>
                <w:rFonts w:ascii="Verdana" w:hAnsi="Verdana"/>
                <w:sz w:val="16"/>
              </w:rPr>
              <w:t>Stredná</w:t>
            </w:r>
          </w:p>
        </w:tc>
        <w:tc>
          <w:tcPr>
            <w:tcW w:w="1418" w:type="dxa"/>
            <w:tcBorders>
              <w:top w:val="single" w:sz="4" w:space="0" w:color="auto"/>
              <w:bottom w:val="single" w:sz="4" w:space="0" w:color="auto"/>
            </w:tcBorders>
            <w:shd w:val="clear" w:color="auto" w:fill="auto"/>
            <w:tcMar>
              <w:top w:w="85" w:type="dxa"/>
              <w:bottom w:w="85" w:type="dxa"/>
            </w:tcMar>
          </w:tcPr>
          <w:p w:rsidR="00993467" w:rsidRPr="003E010C" w:rsidRDefault="00993467" w:rsidP="004E54A8">
            <w:pPr>
              <w:widowControl w:val="0"/>
              <w:jc w:val="center"/>
              <w:rPr>
                <w:rFonts w:ascii="Verdana" w:hAnsi="Verdana" w:cs="Tahoma"/>
                <w:sz w:val="16"/>
                <w:szCs w:val="16"/>
              </w:rPr>
            </w:pPr>
            <w:r>
              <w:rPr>
                <w:rFonts w:ascii="Verdana" w:hAnsi="Verdana"/>
                <w:sz w:val="16"/>
              </w:rPr>
              <w:t>Nízka</w:t>
            </w:r>
          </w:p>
        </w:tc>
        <w:tc>
          <w:tcPr>
            <w:tcW w:w="850" w:type="dxa"/>
            <w:tcBorders>
              <w:top w:val="single" w:sz="4" w:space="0" w:color="auto"/>
              <w:bottom w:val="single" w:sz="4" w:space="0" w:color="auto"/>
            </w:tcBorders>
            <w:shd w:val="clear" w:color="auto" w:fill="auto"/>
            <w:tcMar>
              <w:top w:w="85" w:type="dxa"/>
              <w:bottom w:w="85" w:type="dxa"/>
            </w:tcMar>
          </w:tcPr>
          <w:p w:rsidR="00993467" w:rsidRPr="003E010C" w:rsidRDefault="00993467" w:rsidP="004E54A8">
            <w:pPr>
              <w:widowControl w:val="0"/>
              <w:jc w:val="center"/>
              <w:rPr>
                <w:rFonts w:ascii="Verdana" w:hAnsi="Verdana" w:cs="Tahoma"/>
                <w:sz w:val="16"/>
                <w:szCs w:val="16"/>
              </w:rPr>
            </w:pPr>
            <w:r>
              <w:rPr>
                <w:rFonts w:ascii="Verdana" w:hAnsi="Verdana"/>
                <w:sz w:val="16"/>
              </w:rPr>
              <w:t>2</w:t>
            </w:r>
          </w:p>
        </w:tc>
        <w:tc>
          <w:tcPr>
            <w:tcW w:w="2268" w:type="dxa"/>
            <w:tcBorders>
              <w:top w:val="single" w:sz="4" w:space="0" w:color="auto"/>
              <w:bottom w:val="single" w:sz="4" w:space="0" w:color="auto"/>
            </w:tcBorders>
            <w:shd w:val="clear" w:color="auto" w:fill="auto"/>
            <w:tcMar>
              <w:top w:w="85" w:type="dxa"/>
              <w:bottom w:w="85" w:type="dxa"/>
            </w:tcMar>
          </w:tcPr>
          <w:p w:rsidR="00993467" w:rsidRPr="003E010C" w:rsidRDefault="00993467" w:rsidP="004E54A8">
            <w:pPr>
              <w:widowControl w:val="0"/>
              <w:rPr>
                <w:rFonts w:ascii="Verdana" w:hAnsi="Verdana" w:cs="Tahoma"/>
                <w:sz w:val="16"/>
                <w:szCs w:val="16"/>
              </w:rPr>
            </w:pPr>
          </w:p>
        </w:tc>
        <w:tc>
          <w:tcPr>
            <w:tcW w:w="2127" w:type="dxa"/>
            <w:tcBorders>
              <w:top w:val="single" w:sz="4" w:space="0" w:color="auto"/>
              <w:bottom w:val="single" w:sz="4" w:space="0" w:color="auto"/>
            </w:tcBorders>
            <w:shd w:val="clear" w:color="auto" w:fill="auto"/>
            <w:tcMar>
              <w:top w:w="85" w:type="dxa"/>
              <w:bottom w:w="85" w:type="dxa"/>
            </w:tcMar>
          </w:tcPr>
          <w:p w:rsidR="00993467" w:rsidRPr="003E010C" w:rsidRDefault="00993467" w:rsidP="004E54A8">
            <w:pPr>
              <w:widowControl w:val="0"/>
              <w:rPr>
                <w:rFonts w:ascii="Verdana" w:hAnsi="Verdana" w:cs="Tahoma"/>
                <w:i/>
                <w:iCs/>
                <w:color w:val="0000FF"/>
                <w:sz w:val="16"/>
                <w:szCs w:val="16"/>
              </w:rPr>
            </w:pPr>
          </w:p>
        </w:tc>
        <w:tc>
          <w:tcPr>
            <w:tcW w:w="2693" w:type="dxa"/>
            <w:tcBorders>
              <w:top w:val="single" w:sz="4" w:space="0" w:color="auto"/>
              <w:bottom w:val="single" w:sz="4" w:space="0" w:color="auto"/>
            </w:tcBorders>
            <w:shd w:val="clear" w:color="auto" w:fill="auto"/>
            <w:tcMar>
              <w:top w:w="85" w:type="dxa"/>
              <w:bottom w:w="85" w:type="dxa"/>
            </w:tcMar>
          </w:tcPr>
          <w:p w:rsidR="00993467" w:rsidRPr="003E010C" w:rsidRDefault="00993467" w:rsidP="004E54A8">
            <w:pPr>
              <w:widowControl w:val="0"/>
              <w:rPr>
                <w:rFonts w:ascii="Verdana" w:hAnsi="Verdana" w:cs="Tahoma"/>
                <w:sz w:val="16"/>
                <w:szCs w:val="16"/>
              </w:rPr>
            </w:pPr>
            <w:r>
              <w:rPr>
                <w:rFonts w:ascii="Verdana" w:hAnsi="Verdana"/>
                <w:sz w:val="16"/>
              </w:rPr>
              <w:t>Zabezpečenie budov, programy čistenia a systém ochrany pred škodcami ako súčasť programu nevyhnutných predpokladov.</w:t>
            </w:r>
          </w:p>
        </w:tc>
        <w:tc>
          <w:tcPr>
            <w:tcW w:w="1843" w:type="dxa"/>
            <w:tcBorders>
              <w:top w:val="single" w:sz="4" w:space="0" w:color="auto"/>
              <w:bottom w:val="single" w:sz="4" w:space="0" w:color="auto"/>
            </w:tcBorders>
            <w:shd w:val="clear" w:color="auto" w:fill="auto"/>
            <w:tcMar>
              <w:top w:w="85" w:type="dxa"/>
              <w:bottom w:w="85" w:type="dxa"/>
            </w:tcMar>
          </w:tcPr>
          <w:p w:rsidR="00993467" w:rsidRPr="003E010C" w:rsidRDefault="00993467" w:rsidP="004E54A8">
            <w:pPr>
              <w:widowControl w:val="0"/>
              <w:rPr>
                <w:rFonts w:ascii="Verdana" w:hAnsi="Verdana" w:cs="Arial Narrow"/>
                <w:sz w:val="16"/>
                <w:szCs w:val="16"/>
              </w:rPr>
            </w:pPr>
          </w:p>
        </w:tc>
      </w:tr>
      <w:tr w:rsidR="00BA26DA" w:rsidRPr="00300F3C" w:rsidTr="003E010C">
        <w:trPr>
          <w:trHeight w:val="751"/>
        </w:trPr>
        <w:tc>
          <w:tcPr>
            <w:tcW w:w="1908" w:type="dxa"/>
            <w:tcBorders>
              <w:top w:val="single" w:sz="4" w:space="0" w:color="auto"/>
              <w:bottom w:val="single" w:sz="4" w:space="0" w:color="auto"/>
            </w:tcBorders>
            <w:shd w:val="clear" w:color="auto" w:fill="auto"/>
            <w:tcMar>
              <w:top w:w="85" w:type="dxa"/>
              <w:bottom w:w="85" w:type="dxa"/>
            </w:tcMar>
          </w:tcPr>
          <w:p w:rsidR="00BA26DA" w:rsidRPr="003E010C" w:rsidRDefault="00A31C4F" w:rsidP="00A31C4F">
            <w:pPr>
              <w:widowControl w:val="0"/>
              <w:rPr>
                <w:rFonts w:ascii="Verdana" w:hAnsi="Verdana" w:cs="Tahoma"/>
                <w:b/>
                <w:bCs/>
                <w:sz w:val="16"/>
                <w:szCs w:val="16"/>
              </w:rPr>
            </w:pPr>
            <w:r>
              <w:rPr>
                <w:rFonts w:ascii="Verdana" w:hAnsi="Verdana"/>
                <w:b/>
                <w:sz w:val="16"/>
              </w:rPr>
              <w:t>Krížová kontaminácia v dôsledku manipulácie s predchádzajúcim produktom</w:t>
            </w:r>
          </w:p>
        </w:tc>
        <w:tc>
          <w:tcPr>
            <w:tcW w:w="654" w:type="dxa"/>
            <w:tcBorders>
              <w:top w:val="single" w:sz="4" w:space="0" w:color="auto"/>
              <w:bottom w:val="single" w:sz="4" w:space="0" w:color="auto"/>
            </w:tcBorders>
            <w:shd w:val="clear" w:color="auto" w:fill="auto"/>
            <w:tcMar>
              <w:top w:w="85" w:type="dxa"/>
              <w:bottom w:w="85" w:type="dxa"/>
            </w:tcMar>
          </w:tcPr>
          <w:p w:rsidR="00BA26DA" w:rsidRPr="003E010C" w:rsidRDefault="00493677" w:rsidP="004E54A8">
            <w:pPr>
              <w:widowControl w:val="0"/>
              <w:jc w:val="center"/>
              <w:rPr>
                <w:rFonts w:ascii="Verdana" w:hAnsi="Verdana" w:cs="Tahoma"/>
                <w:sz w:val="16"/>
                <w:szCs w:val="16"/>
              </w:rPr>
            </w:pPr>
            <w:r>
              <w:rPr>
                <w:rFonts w:ascii="Verdana" w:hAnsi="Verdana"/>
                <w:sz w:val="16"/>
              </w:rPr>
              <w:t>CH/B/F</w:t>
            </w:r>
          </w:p>
        </w:tc>
        <w:tc>
          <w:tcPr>
            <w:tcW w:w="948" w:type="dxa"/>
            <w:tcBorders>
              <w:top w:val="single" w:sz="4" w:space="0" w:color="auto"/>
              <w:bottom w:val="single" w:sz="4" w:space="0" w:color="auto"/>
            </w:tcBorders>
            <w:shd w:val="clear" w:color="auto" w:fill="auto"/>
            <w:tcMar>
              <w:top w:w="85" w:type="dxa"/>
              <w:bottom w:w="85" w:type="dxa"/>
            </w:tcMar>
          </w:tcPr>
          <w:p w:rsidR="00BA26DA" w:rsidRPr="003E010C" w:rsidRDefault="00493677" w:rsidP="004E54A8">
            <w:pPr>
              <w:widowControl w:val="0"/>
              <w:jc w:val="center"/>
              <w:rPr>
                <w:rFonts w:ascii="Verdana" w:hAnsi="Verdana" w:cs="Tahoma"/>
                <w:sz w:val="16"/>
                <w:szCs w:val="16"/>
              </w:rPr>
            </w:pPr>
            <w:r>
              <w:rPr>
                <w:rFonts w:ascii="Verdana" w:hAnsi="Verdana"/>
                <w:sz w:val="16"/>
              </w:rPr>
              <w:t>Nízka</w:t>
            </w:r>
          </w:p>
        </w:tc>
        <w:tc>
          <w:tcPr>
            <w:tcW w:w="1418" w:type="dxa"/>
            <w:tcBorders>
              <w:top w:val="single" w:sz="4" w:space="0" w:color="auto"/>
              <w:bottom w:val="single" w:sz="4" w:space="0" w:color="auto"/>
            </w:tcBorders>
            <w:shd w:val="clear" w:color="auto" w:fill="auto"/>
            <w:tcMar>
              <w:top w:w="85" w:type="dxa"/>
              <w:bottom w:w="85" w:type="dxa"/>
            </w:tcMar>
          </w:tcPr>
          <w:p w:rsidR="00BA26DA" w:rsidRPr="003E010C" w:rsidRDefault="00493677" w:rsidP="004E54A8">
            <w:pPr>
              <w:widowControl w:val="0"/>
              <w:jc w:val="center"/>
              <w:rPr>
                <w:rFonts w:ascii="Verdana" w:hAnsi="Verdana" w:cs="Tahoma"/>
                <w:sz w:val="16"/>
                <w:szCs w:val="16"/>
              </w:rPr>
            </w:pPr>
            <w:r>
              <w:rPr>
                <w:rFonts w:ascii="Verdana" w:hAnsi="Verdana"/>
                <w:sz w:val="16"/>
              </w:rPr>
              <w:t>Vysoká</w:t>
            </w:r>
          </w:p>
        </w:tc>
        <w:tc>
          <w:tcPr>
            <w:tcW w:w="850" w:type="dxa"/>
            <w:tcBorders>
              <w:top w:val="single" w:sz="4" w:space="0" w:color="auto"/>
              <w:bottom w:val="single" w:sz="4" w:space="0" w:color="auto"/>
            </w:tcBorders>
            <w:shd w:val="clear" w:color="auto" w:fill="auto"/>
            <w:tcMar>
              <w:top w:w="85" w:type="dxa"/>
              <w:bottom w:w="85" w:type="dxa"/>
            </w:tcMar>
          </w:tcPr>
          <w:p w:rsidR="00BA26DA" w:rsidRPr="003E010C" w:rsidRDefault="00493677" w:rsidP="004E54A8">
            <w:pPr>
              <w:widowControl w:val="0"/>
              <w:jc w:val="center"/>
              <w:rPr>
                <w:rFonts w:ascii="Verdana" w:hAnsi="Verdana" w:cs="Tahoma"/>
                <w:sz w:val="16"/>
                <w:szCs w:val="16"/>
              </w:rPr>
            </w:pPr>
            <w:r>
              <w:rPr>
                <w:rFonts w:ascii="Verdana" w:hAnsi="Verdana"/>
                <w:sz w:val="16"/>
              </w:rPr>
              <w:t>3</w:t>
            </w:r>
          </w:p>
        </w:tc>
        <w:tc>
          <w:tcPr>
            <w:tcW w:w="2268" w:type="dxa"/>
            <w:tcBorders>
              <w:top w:val="single" w:sz="4" w:space="0" w:color="auto"/>
              <w:bottom w:val="single" w:sz="4" w:space="0" w:color="auto"/>
            </w:tcBorders>
            <w:shd w:val="clear" w:color="auto" w:fill="auto"/>
            <w:tcMar>
              <w:top w:w="85" w:type="dxa"/>
              <w:bottom w:w="85" w:type="dxa"/>
            </w:tcMar>
          </w:tcPr>
          <w:p w:rsidR="00BA26DA" w:rsidRPr="003E010C" w:rsidRDefault="00CF1843" w:rsidP="00384D26">
            <w:pPr>
              <w:widowControl w:val="0"/>
              <w:rPr>
                <w:rFonts w:ascii="Verdana" w:hAnsi="Verdana" w:cs="Tahoma"/>
                <w:sz w:val="16"/>
                <w:szCs w:val="16"/>
              </w:rPr>
            </w:pPr>
            <w:r>
              <w:rPr>
                <w:rFonts w:ascii="Verdana" w:hAnsi="Verdana"/>
                <w:sz w:val="16"/>
              </w:rPr>
              <w:t xml:space="preserve">Nebezpečenstvo krížovej kontaminácie je nízke ak prevádzkovateľ preukáže, že vykonané postupy vyplachovania a čistenia sú účinné. </w:t>
            </w:r>
          </w:p>
        </w:tc>
        <w:tc>
          <w:tcPr>
            <w:tcW w:w="2127" w:type="dxa"/>
            <w:tcBorders>
              <w:top w:val="single" w:sz="4" w:space="0" w:color="auto"/>
              <w:bottom w:val="single" w:sz="4" w:space="0" w:color="auto"/>
            </w:tcBorders>
            <w:shd w:val="clear" w:color="auto" w:fill="auto"/>
            <w:tcMar>
              <w:top w:w="85" w:type="dxa"/>
              <w:bottom w:w="85" w:type="dxa"/>
            </w:tcMar>
          </w:tcPr>
          <w:p w:rsidR="00BA26DA" w:rsidRPr="003E010C" w:rsidRDefault="00BA26DA" w:rsidP="004E54A8">
            <w:pPr>
              <w:widowControl w:val="0"/>
              <w:rPr>
                <w:rFonts w:ascii="Verdana" w:hAnsi="Verdana" w:cs="Tahoma"/>
                <w:i/>
                <w:iCs/>
                <w:color w:val="0000FF"/>
                <w:sz w:val="16"/>
                <w:szCs w:val="16"/>
              </w:rPr>
            </w:pPr>
          </w:p>
        </w:tc>
        <w:tc>
          <w:tcPr>
            <w:tcW w:w="2693" w:type="dxa"/>
            <w:tcBorders>
              <w:top w:val="single" w:sz="4" w:space="0" w:color="auto"/>
              <w:bottom w:val="single" w:sz="4" w:space="0" w:color="auto"/>
            </w:tcBorders>
            <w:shd w:val="clear" w:color="auto" w:fill="auto"/>
            <w:tcMar>
              <w:top w:w="85" w:type="dxa"/>
              <w:bottom w:w="85" w:type="dxa"/>
            </w:tcMar>
          </w:tcPr>
          <w:p w:rsidR="00BA26DA" w:rsidRPr="003E010C" w:rsidRDefault="00CF1843" w:rsidP="004E54A8">
            <w:pPr>
              <w:widowControl w:val="0"/>
              <w:rPr>
                <w:rFonts w:ascii="Verdana" w:hAnsi="Verdana" w:cs="Tahoma"/>
                <w:sz w:val="16"/>
                <w:szCs w:val="16"/>
              </w:rPr>
            </w:pPr>
            <w:r>
              <w:rPr>
                <w:rFonts w:ascii="Verdana" w:hAnsi="Verdana"/>
                <w:sz w:val="16"/>
              </w:rPr>
              <w:t>Musí sa vypracovať striktný protokol uvedený v pláne HACCP, v ktorom sa uvedie i) prijateľná doba prevádzky pre čerstvé oleje a ii) vykonanie auditu treťou stranou.</w:t>
            </w:r>
          </w:p>
        </w:tc>
        <w:tc>
          <w:tcPr>
            <w:tcW w:w="1843" w:type="dxa"/>
            <w:tcBorders>
              <w:top w:val="single" w:sz="4" w:space="0" w:color="auto"/>
              <w:bottom w:val="single" w:sz="4" w:space="0" w:color="auto"/>
            </w:tcBorders>
            <w:shd w:val="clear" w:color="auto" w:fill="auto"/>
            <w:tcMar>
              <w:top w:w="85" w:type="dxa"/>
              <w:bottom w:w="85" w:type="dxa"/>
            </w:tcMar>
          </w:tcPr>
          <w:p w:rsidR="00BA26DA" w:rsidRPr="003E010C" w:rsidRDefault="00A31C4F" w:rsidP="004E54A8">
            <w:pPr>
              <w:widowControl w:val="0"/>
              <w:rPr>
                <w:rFonts w:ascii="Verdana" w:hAnsi="Verdana" w:cs="Arial Narrow"/>
                <w:sz w:val="16"/>
                <w:szCs w:val="16"/>
              </w:rPr>
            </w:pPr>
            <w:r>
              <w:rPr>
                <w:rFonts w:ascii="Verdana" w:hAnsi="Verdana"/>
                <w:sz w:val="16"/>
              </w:rPr>
              <w:t>Závod na spracúvanie viacerých východiskových surovín, ktorý chce spracúvať čerstvý olej po období spracúvania živočíšnych tukov kategórie 1 alebo 2 alebo použitého jedlého oleja z odpadu stravovacích zariadení.</w:t>
            </w:r>
          </w:p>
        </w:tc>
      </w:tr>
    </w:tbl>
    <w:p w:rsidR="00E33DAE" w:rsidRDefault="00E33DAE" w:rsidP="002E52C2">
      <w:pPr>
        <w:rPr>
          <w:rFonts w:ascii="Verdana" w:hAnsi="Verdana"/>
        </w:rPr>
      </w:pPr>
    </w:p>
    <w:p w:rsidR="00224937" w:rsidRPr="00E016F1" w:rsidRDefault="00224937" w:rsidP="002E52C2">
      <w:pPr>
        <w:rPr>
          <w:rFonts w:ascii="Verdana" w:hAnsi="Verdana"/>
        </w:rPr>
      </w:pPr>
    </w:p>
    <w:p w:rsidR="00300F3C" w:rsidRPr="00E016F1" w:rsidRDefault="00300F3C" w:rsidP="002E52C2">
      <w:pPr>
        <w:rPr>
          <w:rFonts w:ascii="Verdana" w:hAnsi="Verdana"/>
        </w:rPr>
      </w:pPr>
    </w:p>
    <w:p w:rsidR="00E33DAE" w:rsidRPr="00E016F1" w:rsidRDefault="00E33DAE" w:rsidP="002E52C2">
      <w:pPr>
        <w:rPr>
          <w:rFonts w:ascii="Verdana" w:hAnsi="Verdana"/>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646"/>
        <w:gridCol w:w="979"/>
        <w:gridCol w:w="1418"/>
        <w:gridCol w:w="850"/>
        <w:gridCol w:w="2268"/>
        <w:gridCol w:w="1985"/>
        <w:gridCol w:w="2551"/>
        <w:gridCol w:w="2127"/>
      </w:tblGrid>
      <w:tr w:rsidR="00C724B8" w:rsidRPr="00073614" w:rsidTr="00993467">
        <w:trPr>
          <w:trHeight w:val="145"/>
        </w:trPr>
        <w:tc>
          <w:tcPr>
            <w:tcW w:w="4928" w:type="dxa"/>
            <w:gridSpan w:val="4"/>
            <w:tcBorders>
              <w:bottom w:val="single" w:sz="4" w:space="0" w:color="auto"/>
            </w:tcBorders>
            <w:shd w:val="clear" w:color="auto" w:fill="0DA72A"/>
            <w:tcMar>
              <w:top w:w="57" w:type="dxa"/>
              <w:bottom w:w="57" w:type="dxa"/>
            </w:tcMar>
            <w:vAlign w:val="center"/>
          </w:tcPr>
          <w:p w:rsidR="00C724B8" w:rsidRPr="00C724B8" w:rsidRDefault="00E80F73" w:rsidP="00C724B8">
            <w:pPr>
              <w:widowControl w:val="0"/>
              <w:spacing w:before="20" w:after="20"/>
              <w:ind w:left="85" w:right="85"/>
              <w:rPr>
                <w:rFonts w:ascii="Verdana" w:hAnsi="Verdana"/>
                <w:b/>
                <w:color w:val="FFFFFF"/>
                <w:sz w:val="32"/>
                <w:szCs w:val="32"/>
              </w:rPr>
            </w:pPr>
            <w:r>
              <w:rPr>
                <w:rFonts w:ascii="Verdana" w:hAnsi="Verdana"/>
                <w:b/>
                <w:color w:val="FFFFFF"/>
                <w:sz w:val="32"/>
              </w:rPr>
              <w:t>8. Prístup založený na rizikách, pokiaľ ide o glycerín</w:t>
            </w:r>
          </w:p>
          <w:p w:rsidR="00C724B8" w:rsidRPr="00073614" w:rsidRDefault="00C724B8" w:rsidP="004E54A8">
            <w:pPr>
              <w:widowControl w:val="0"/>
              <w:spacing w:before="20" w:after="20"/>
              <w:jc w:val="right"/>
              <w:rPr>
                <w:rFonts w:ascii="Verdana" w:hAnsi="Verdana" w:cs="Tahoma"/>
                <w:b/>
                <w:bCs/>
                <w:color w:val="FFFFFF"/>
                <w:sz w:val="28"/>
                <w:szCs w:val="28"/>
              </w:rPr>
            </w:pPr>
          </w:p>
        </w:tc>
        <w:tc>
          <w:tcPr>
            <w:tcW w:w="9781" w:type="dxa"/>
            <w:gridSpan w:val="5"/>
            <w:tcBorders>
              <w:left w:val="nil"/>
              <w:bottom w:val="single" w:sz="4" w:space="0" w:color="auto"/>
            </w:tcBorders>
            <w:shd w:val="clear" w:color="auto" w:fill="0DA72A"/>
            <w:tcMar>
              <w:top w:w="57" w:type="dxa"/>
              <w:bottom w:w="57" w:type="dxa"/>
            </w:tcMar>
            <w:vAlign w:val="center"/>
          </w:tcPr>
          <w:p w:rsidR="00C724B8" w:rsidRPr="00073614" w:rsidRDefault="00C724B8" w:rsidP="004E54A8">
            <w:pPr>
              <w:widowControl w:val="0"/>
              <w:rPr>
                <w:rFonts w:ascii="Verdana" w:hAnsi="Verdana" w:cs="Tahoma"/>
                <w:b/>
                <w:color w:val="FFFFFF"/>
                <w:sz w:val="28"/>
                <w:szCs w:val="28"/>
              </w:rPr>
            </w:pPr>
            <w:r>
              <w:rPr>
                <w:rFonts w:ascii="Verdana" w:hAnsi="Verdana"/>
                <w:b/>
                <w:color w:val="FFFFFF"/>
                <w:sz w:val="28"/>
              </w:rPr>
              <w:t>2. Príjem rastlinného oleja ako východiskovej suroviny</w:t>
            </w:r>
          </w:p>
        </w:tc>
      </w:tr>
      <w:tr w:rsidR="00993467" w:rsidRPr="00073614" w:rsidTr="00993467">
        <w:trPr>
          <w:trHeight w:val="145"/>
        </w:trPr>
        <w:tc>
          <w:tcPr>
            <w:tcW w:w="1885" w:type="dxa"/>
            <w:tcBorders>
              <w:bottom w:val="single" w:sz="4" w:space="0" w:color="auto"/>
            </w:tcBorders>
            <w:shd w:val="clear" w:color="auto" w:fill="0DA72A"/>
            <w:tcMar>
              <w:top w:w="28" w:type="dxa"/>
              <w:bottom w:w="28" w:type="dxa"/>
            </w:tcMar>
            <w:vAlign w:val="center"/>
          </w:tcPr>
          <w:p w:rsidR="00993467" w:rsidRPr="00073614" w:rsidRDefault="00993467" w:rsidP="004E54A8">
            <w:pPr>
              <w:widowControl w:val="0"/>
              <w:spacing w:before="20" w:after="20"/>
              <w:rPr>
                <w:rFonts w:ascii="Verdana" w:hAnsi="Verdana" w:cs="Tahoma"/>
                <w:b/>
                <w:bCs/>
                <w:color w:val="FFFFFF"/>
                <w:sz w:val="14"/>
                <w:szCs w:val="14"/>
              </w:rPr>
            </w:pPr>
            <w:r>
              <w:rPr>
                <w:rFonts w:ascii="Verdana" w:hAnsi="Verdana"/>
                <w:b/>
                <w:color w:val="FFFFFF"/>
                <w:sz w:val="14"/>
              </w:rPr>
              <w:t xml:space="preserve">NEBEZPEČENSTVO </w:t>
            </w:r>
          </w:p>
        </w:tc>
        <w:tc>
          <w:tcPr>
            <w:tcW w:w="646" w:type="dxa"/>
            <w:tcBorders>
              <w:bottom w:val="single" w:sz="4" w:space="0" w:color="auto"/>
            </w:tcBorders>
            <w:shd w:val="clear" w:color="auto" w:fill="0DA72A"/>
            <w:tcMar>
              <w:top w:w="28" w:type="dxa"/>
              <w:bottom w:w="28" w:type="dxa"/>
            </w:tcMar>
            <w:vAlign w:val="center"/>
          </w:tcPr>
          <w:p w:rsidR="00993467" w:rsidRPr="00073614"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KATEGÓRIA </w:t>
            </w:r>
          </w:p>
        </w:tc>
        <w:tc>
          <w:tcPr>
            <w:tcW w:w="979" w:type="dxa"/>
            <w:tcBorders>
              <w:bottom w:val="single" w:sz="4" w:space="0" w:color="auto"/>
            </w:tcBorders>
            <w:shd w:val="clear" w:color="auto" w:fill="0DA72A"/>
            <w:tcMar>
              <w:top w:w="28" w:type="dxa"/>
              <w:bottom w:w="28" w:type="dxa"/>
            </w:tcMar>
            <w:vAlign w:val="center"/>
          </w:tcPr>
          <w:p w:rsidR="00993467" w:rsidRPr="00073614"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PRAVDEPODOBNOSŤ </w:t>
            </w:r>
          </w:p>
        </w:tc>
        <w:tc>
          <w:tcPr>
            <w:tcW w:w="1418" w:type="dxa"/>
            <w:tcBorders>
              <w:bottom w:val="single" w:sz="4" w:space="0" w:color="auto"/>
            </w:tcBorders>
            <w:shd w:val="clear" w:color="auto" w:fill="0DA72A"/>
            <w:tcMar>
              <w:top w:w="28" w:type="dxa"/>
              <w:bottom w:w="28" w:type="dxa"/>
            </w:tcMar>
            <w:vAlign w:val="center"/>
          </w:tcPr>
          <w:p w:rsidR="00993467" w:rsidRPr="00073614"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ZÁVAŽNOSŤ </w:t>
            </w:r>
          </w:p>
        </w:tc>
        <w:tc>
          <w:tcPr>
            <w:tcW w:w="850" w:type="dxa"/>
            <w:tcBorders>
              <w:bottom w:val="single" w:sz="4" w:space="0" w:color="auto"/>
            </w:tcBorders>
            <w:shd w:val="clear" w:color="auto" w:fill="0DA72A"/>
            <w:tcMar>
              <w:top w:w="28" w:type="dxa"/>
              <w:bottom w:w="28" w:type="dxa"/>
            </w:tcMar>
            <w:vAlign w:val="center"/>
          </w:tcPr>
          <w:p w:rsidR="00993467" w:rsidRPr="00073614"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TRIEDA RIZIKA </w:t>
            </w:r>
          </w:p>
        </w:tc>
        <w:tc>
          <w:tcPr>
            <w:tcW w:w="2268" w:type="dxa"/>
            <w:tcBorders>
              <w:bottom w:val="single" w:sz="4" w:space="0" w:color="auto"/>
            </w:tcBorders>
            <w:shd w:val="clear" w:color="auto" w:fill="0DA72A"/>
            <w:tcMar>
              <w:top w:w="28" w:type="dxa"/>
              <w:bottom w:w="28" w:type="dxa"/>
            </w:tcMar>
            <w:vAlign w:val="center"/>
          </w:tcPr>
          <w:p w:rsidR="00993467" w:rsidRPr="00073614"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ZDÔVODNENIE</w:t>
            </w:r>
          </w:p>
        </w:tc>
        <w:tc>
          <w:tcPr>
            <w:tcW w:w="1985" w:type="dxa"/>
            <w:tcBorders>
              <w:bottom w:val="single" w:sz="4" w:space="0" w:color="auto"/>
            </w:tcBorders>
            <w:shd w:val="clear" w:color="auto" w:fill="0DA72A"/>
            <w:tcMar>
              <w:top w:w="28" w:type="dxa"/>
              <w:bottom w:w="28" w:type="dxa"/>
            </w:tcMar>
            <w:vAlign w:val="center"/>
          </w:tcPr>
          <w:p w:rsidR="00993467" w:rsidRPr="00073614" w:rsidRDefault="00993467" w:rsidP="00073614">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PRÁVNE PREDPISY, ODVETVOVÉ NORMY </w:t>
            </w:r>
          </w:p>
        </w:tc>
        <w:tc>
          <w:tcPr>
            <w:tcW w:w="2551" w:type="dxa"/>
            <w:tcBorders>
              <w:bottom w:val="single" w:sz="4" w:space="0" w:color="auto"/>
            </w:tcBorders>
            <w:shd w:val="clear" w:color="auto" w:fill="0DA72A"/>
            <w:tcMar>
              <w:top w:w="28" w:type="dxa"/>
              <w:bottom w:w="28" w:type="dxa"/>
            </w:tcMar>
            <w:vAlign w:val="center"/>
          </w:tcPr>
          <w:p w:rsidR="00993467" w:rsidRPr="00073614"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KONTROLNÉ OPATRENIE  </w:t>
            </w:r>
          </w:p>
        </w:tc>
        <w:tc>
          <w:tcPr>
            <w:tcW w:w="2127" w:type="dxa"/>
            <w:tcBorders>
              <w:bottom w:val="single" w:sz="4" w:space="0" w:color="auto"/>
            </w:tcBorders>
            <w:shd w:val="clear" w:color="auto" w:fill="0DA72A"/>
            <w:tcMar>
              <w:top w:w="28" w:type="dxa"/>
              <w:bottom w:w="28" w:type="dxa"/>
            </w:tcMar>
            <w:vAlign w:val="center"/>
          </w:tcPr>
          <w:p w:rsidR="00993467" w:rsidRPr="00073614" w:rsidRDefault="00993467" w:rsidP="004E54A8">
            <w:pPr>
              <w:widowControl w:val="0"/>
              <w:spacing w:before="20" w:after="20"/>
              <w:jc w:val="center"/>
              <w:rPr>
                <w:rFonts w:ascii="Verdana" w:hAnsi="Verdana" w:cs="Tahoma"/>
                <w:color w:val="FFFFFF"/>
                <w:sz w:val="14"/>
                <w:szCs w:val="14"/>
              </w:rPr>
            </w:pPr>
            <w:r>
              <w:rPr>
                <w:rFonts w:ascii="Verdana" w:hAnsi="Verdana"/>
                <w:b/>
                <w:color w:val="FFFFFF"/>
                <w:sz w:val="14"/>
              </w:rPr>
              <w:t xml:space="preserve">POZNÁMKY </w:t>
            </w:r>
          </w:p>
        </w:tc>
      </w:tr>
      <w:tr w:rsidR="00993467" w:rsidRPr="00073614" w:rsidTr="00F81C3B">
        <w:trPr>
          <w:trHeight w:val="145"/>
        </w:trPr>
        <w:tc>
          <w:tcPr>
            <w:tcW w:w="1885" w:type="dxa"/>
            <w:tcBorders>
              <w:bottom w:val="single" w:sz="4" w:space="0" w:color="auto"/>
            </w:tcBorders>
            <w:tcMar>
              <w:top w:w="85" w:type="dxa"/>
              <w:bottom w:w="85" w:type="dxa"/>
            </w:tcMar>
          </w:tcPr>
          <w:p w:rsidR="00993467" w:rsidRPr="0055765D" w:rsidRDefault="00993467" w:rsidP="00F13477">
            <w:pPr>
              <w:widowControl w:val="0"/>
              <w:rPr>
                <w:rFonts w:ascii="Verdana" w:hAnsi="Verdana" w:cs="Tahoma"/>
                <w:b/>
                <w:bCs/>
                <w:sz w:val="16"/>
                <w:szCs w:val="16"/>
              </w:rPr>
            </w:pPr>
            <w:r>
              <w:rPr>
                <w:rFonts w:ascii="Verdana" w:hAnsi="Verdana"/>
                <w:b/>
                <w:sz w:val="16"/>
              </w:rPr>
              <w:t>Kontaminácia predchádzajúcimi nákladmi pri preprave kamiónom, nákladným člnom alebo námorným plavidlom</w:t>
            </w:r>
          </w:p>
        </w:tc>
        <w:tc>
          <w:tcPr>
            <w:tcW w:w="646" w:type="dxa"/>
            <w:tcBorders>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CH</w:t>
            </w:r>
          </w:p>
        </w:tc>
        <w:tc>
          <w:tcPr>
            <w:tcW w:w="979" w:type="dxa"/>
            <w:tcBorders>
              <w:bottom w:val="single" w:sz="4" w:space="0" w:color="auto"/>
            </w:tcBorders>
            <w:tcMar>
              <w:top w:w="85" w:type="dxa"/>
              <w:bottom w:w="85" w:type="dxa"/>
            </w:tcMar>
          </w:tcPr>
          <w:p w:rsidR="00993467" w:rsidRPr="0055765D" w:rsidRDefault="00FF185B" w:rsidP="00F13477">
            <w:pPr>
              <w:widowControl w:val="0"/>
              <w:jc w:val="center"/>
              <w:rPr>
                <w:rFonts w:ascii="Verdana" w:hAnsi="Verdana" w:cs="Tahoma"/>
                <w:sz w:val="16"/>
                <w:szCs w:val="16"/>
              </w:rPr>
            </w:pPr>
            <w:r>
              <w:rPr>
                <w:rFonts w:ascii="Verdana" w:hAnsi="Verdana"/>
                <w:sz w:val="16"/>
              </w:rPr>
              <w:t>Nízka</w:t>
            </w:r>
          </w:p>
        </w:tc>
        <w:tc>
          <w:tcPr>
            <w:tcW w:w="1418" w:type="dxa"/>
            <w:tcBorders>
              <w:bottom w:val="single" w:sz="4" w:space="0" w:color="auto"/>
            </w:tcBorders>
            <w:tcMar>
              <w:top w:w="85" w:type="dxa"/>
              <w:bottom w:w="85" w:type="dxa"/>
            </w:tcMar>
          </w:tcPr>
          <w:p w:rsidR="00993467" w:rsidRPr="0055765D" w:rsidRDefault="00FF185B" w:rsidP="004E54A8">
            <w:pPr>
              <w:widowControl w:val="0"/>
              <w:jc w:val="center"/>
              <w:rPr>
                <w:rFonts w:ascii="Verdana" w:hAnsi="Verdana" w:cs="Tahoma"/>
                <w:sz w:val="16"/>
                <w:szCs w:val="16"/>
              </w:rPr>
            </w:pPr>
            <w:r>
              <w:rPr>
                <w:rFonts w:ascii="Verdana" w:hAnsi="Verdana"/>
                <w:sz w:val="16"/>
              </w:rPr>
              <w:t>Vysoká</w:t>
            </w:r>
          </w:p>
        </w:tc>
        <w:tc>
          <w:tcPr>
            <w:tcW w:w="850" w:type="dxa"/>
            <w:tcBorders>
              <w:bottom w:val="single" w:sz="4" w:space="0" w:color="auto"/>
            </w:tcBorders>
            <w:shd w:val="clear" w:color="auto" w:fill="FFC000"/>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3</w:t>
            </w:r>
          </w:p>
        </w:tc>
        <w:tc>
          <w:tcPr>
            <w:tcW w:w="2268" w:type="dxa"/>
            <w:tcBorders>
              <w:bottom w:val="single" w:sz="4" w:space="0" w:color="auto"/>
            </w:tcBorders>
            <w:tcMar>
              <w:top w:w="85" w:type="dxa"/>
              <w:bottom w:w="85" w:type="dxa"/>
            </w:tcMar>
          </w:tcPr>
          <w:p w:rsidR="006221FD" w:rsidRPr="0055765D" w:rsidRDefault="00993467" w:rsidP="006221FD">
            <w:pPr>
              <w:rPr>
                <w:rFonts w:ascii="Verdana" w:hAnsi="Verdana"/>
                <w:sz w:val="16"/>
                <w:szCs w:val="16"/>
              </w:rPr>
            </w:pPr>
            <w:r>
              <w:rPr>
                <w:rFonts w:ascii="Verdana" w:hAnsi="Verdana"/>
                <w:sz w:val="16"/>
              </w:rPr>
              <w:t>Preprava rastlinných olejov sa zvyčajne vykonáva vyhradenými dopravnými prostriedkami.</w:t>
            </w:r>
          </w:p>
          <w:p w:rsidR="00993467" w:rsidRPr="0055765D" w:rsidRDefault="00993467" w:rsidP="004E54A8">
            <w:pPr>
              <w:widowControl w:val="0"/>
              <w:rPr>
                <w:rFonts w:ascii="Verdana" w:hAnsi="Verdana" w:cs="Tahoma"/>
                <w:sz w:val="16"/>
                <w:szCs w:val="16"/>
              </w:rPr>
            </w:pPr>
          </w:p>
        </w:tc>
        <w:tc>
          <w:tcPr>
            <w:tcW w:w="1985" w:type="dxa"/>
            <w:tcBorders>
              <w:bottom w:val="single" w:sz="4" w:space="0" w:color="auto"/>
            </w:tcBorders>
            <w:tcMar>
              <w:top w:w="85" w:type="dxa"/>
              <w:bottom w:w="85" w:type="dxa"/>
            </w:tcMar>
          </w:tcPr>
          <w:p w:rsidR="00993467" w:rsidRPr="0055765D" w:rsidRDefault="00993467" w:rsidP="006221FD">
            <w:pPr>
              <w:rPr>
                <w:rFonts w:ascii="Verdana" w:hAnsi="Verdana" w:cs="Tahoma"/>
                <w:sz w:val="16"/>
                <w:szCs w:val="16"/>
              </w:rPr>
            </w:pPr>
          </w:p>
        </w:tc>
        <w:tc>
          <w:tcPr>
            <w:tcW w:w="2551" w:type="dxa"/>
            <w:tcBorders>
              <w:bottom w:val="single" w:sz="4" w:space="0" w:color="auto"/>
            </w:tcBorders>
            <w:tcMar>
              <w:top w:w="85" w:type="dxa"/>
              <w:bottom w:w="85" w:type="dxa"/>
            </w:tcMar>
          </w:tcPr>
          <w:p w:rsidR="00993467" w:rsidRPr="0055765D" w:rsidRDefault="006221FD" w:rsidP="004E54A8">
            <w:pPr>
              <w:widowControl w:val="0"/>
              <w:rPr>
                <w:rFonts w:ascii="Verdana" w:hAnsi="Verdana"/>
                <w:sz w:val="16"/>
                <w:szCs w:val="16"/>
              </w:rPr>
            </w:pPr>
            <w:r>
              <w:rPr>
                <w:rFonts w:ascii="Verdana" w:hAnsi="Verdana"/>
                <w:sz w:val="16"/>
              </w:rPr>
              <w:t>Na zníženie tohto rizika na prijateľnú úroveň je potrebné vyhodnotiť ho a prijať vhodné opatrenia. Vyhradená preprava, kontrola troch predchádzajúcich nákladov.</w:t>
            </w:r>
          </w:p>
        </w:tc>
        <w:tc>
          <w:tcPr>
            <w:tcW w:w="2127" w:type="dxa"/>
            <w:tcBorders>
              <w:bottom w:val="single" w:sz="4" w:space="0" w:color="auto"/>
            </w:tcBorders>
            <w:tcMar>
              <w:top w:w="85" w:type="dxa"/>
              <w:bottom w:w="85" w:type="dxa"/>
            </w:tcMar>
          </w:tcPr>
          <w:p w:rsidR="00993467" w:rsidRPr="0055765D" w:rsidRDefault="00993467" w:rsidP="003E010C">
            <w:pPr>
              <w:widowControl w:val="0"/>
              <w:jc w:val="center"/>
              <w:rPr>
                <w:rFonts w:ascii="Verdana" w:hAnsi="Verdana" w:cs="Tahoma"/>
                <w:sz w:val="16"/>
                <w:szCs w:val="16"/>
              </w:rPr>
            </w:pPr>
            <w:r>
              <w:rPr>
                <w:rFonts w:ascii="Verdana" w:hAnsi="Verdana"/>
                <w:sz w:val="16"/>
              </w:rPr>
              <w:t>Vizuálne kontroly</w:t>
            </w:r>
          </w:p>
        </w:tc>
      </w:tr>
      <w:tr w:rsidR="00993467" w:rsidRPr="00073614" w:rsidTr="00993467">
        <w:trPr>
          <w:trHeight w:val="145"/>
        </w:trPr>
        <w:tc>
          <w:tcPr>
            <w:tcW w:w="1885" w:type="dxa"/>
            <w:tcBorders>
              <w:bottom w:val="single" w:sz="4" w:space="0" w:color="auto"/>
            </w:tcBorders>
            <w:tcMar>
              <w:top w:w="85" w:type="dxa"/>
              <w:bottom w:w="85" w:type="dxa"/>
            </w:tcMar>
          </w:tcPr>
          <w:p w:rsidR="00993467" w:rsidRPr="0055765D" w:rsidRDefault="00993467" w:rsidP="004E54A8">
            <w:pPr>
              <w:widowControl w:val="0"/>
              <w:rPr>
                <w:rFonts w:ascii="Verdana" w:hAnsi="Verdana" w:cs="Tahoma"/>
                <w:b/>
                <w:bCs/>
                <w:sz w:val="16"/>
                <w:szCs w:val="16"/>
              </w:rPr>
            </w:pPr>
            <w:r>
              <w:rPr>
                <w:rFonts w:ascii="Verdana" w:hAnsi="Verdana"/>
                <w:b/>
                <w:sz w:val="16"/>
              </w:rPr>
              <w:lastRenderedPageBreak/>
              <w:t xml:space="preserve">Cudzie materiály </w:t>
            </w:r>
          </w:p>
        </w:tc>
        <w:tc>
          <w:tcPr>
            <w:tcW w:w="646" w:type="dxa"/>
            <w:tcBorders>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F</w:t>
            </w:r>
          </w:p>
        </w:tc>
        <w:tc>
          <w:tcPr>
            <w:tcW w:w="979" w:type="dxa"/>
            <w:tcBorders>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 xml:space="preserve">Nízka </w:t>
            </w:r>
          </w:p>
        </w:tc>
        <w:tc>
          <w:tcPr>
            <w:tcW w:w="1418" w:type="dxa"/>
            <w:tcBorders>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 xml:space="preserve">Nízka </w:t>
            </w:r>
          </w:p>
        </w:tc>
        <w:tc>
          <w:tcPr>
            <w:tcW w:w="850" w:type="dxa"/>
            <w:tcBorders>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 xml:space="preserve">1 </w:t>
            </w:r>
          </w:p>
        </w:tc>
        <w:tc>
          <w:tcPr>
            <w:tcW w:w="2268" w:type="dxa"/>
            <w:tcBorders>
              <w:bottom w:val="single" w:sz="4" w:space="0" w:color="auto"/>
            </w:tcBorders>
            <w:tcMar>
              <w:top w:w="85" w:type="dxa"/>
              <w:bottom w:w="85" w:type="dxa"/>
            </w:tcMar>
          </w:tcPr>
          <w:p w:rsidR="00993467" w:rsidRPr="0055765D" w:rsidRDefault="00993467" w:rsidP="00916B7E">
            <w:pPr>
              <w:widowControl w:val="0"/>
              <w:rPr>
                <w:rFonts w:ascii="Verdana" w:hAnsi="Verdana" w:cs="Tahoma"/>
                <w:sz w:val="16"/>
                <w:szCs w:val="16"/>
              </w:rPr>
            </w:pPr>
            <w:r>
              <w:rPr>
                <w:rFonts w:ascii="Verdana" w:hAnsi="Verdana"/>
                <w:sz w:val="16"/>
              </w:rPr>
              <w:t>Môžu byť prítomné cudzie materiály.</w:t>
            </w:r>
          </w:p>
        </w:tc>
        <w:tc>
          <w:tcPr>
            <w:tcW w:w="1985" w:type="dxa"/>
            <w:tcBorders>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p>
        </w:tc>
        <w:tc>
          <w:tcPr>
            <w:tcW w:w="2551" w:type="dxa"/>
            <w:tcBorders>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r>
              <w:rPr>
                <w:rFonts w:ascii="Verdana" w:hAnsi="Verdana"/>
                <w:sz w:val="16"/>
              </w:rPr>
              <w:t>Vyhradené budovy a filtre okruhov, hygiena zamestnancov, postup zameraný na sklo, osvedčené postupy údržby.</w:t>
            </w:r>
          </w:p>
        </w:tc>
        <w:tc>
          <w:tcPr>
            <w:tcW w:w="2127" w:type="dxa"/>
            <w:tcBorders>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p>
        </w:tc>
      </w:tr>
      <w:tr w:rsidR="00993467" w:rsidRPr="00073614" w:rsidTr="00F81C3B">
        <w:trPr>
          <w:trHeight w:val="145"/>
        </w:trPr>
        <w:tc>
          <w:tcPr>
            <w:tcW w:w="1885"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b/>
                <w:bCs/>
                <w:sz w:val="16"/>
                <w:szCs w:val="16"/>
              </w:rPr>
            </w:pPr>
            <w:r>
              <w:rPr>
                <w:rFonts w:ascii="Verdana" w:hAnsi="Verdana"/>
                <w:b/>
                <w:sz w:val="16"/>
              </w:rPr>
              <w:t>Kontaminácia nežiaducimi látkami</w:t>
            </w:r>
          </w:p>
          <w:p w:rsidR="00993467" w:rsidRPr="0055765D" w:rsidRDefault="00993467" w:rsidP="004E54A8">
            <w:pPr>
              <w:widowControl w:val="0"/>
              <w:rPr>
                <w:rFonts w:ascii="Verdana" w:hAnsi="Verdana" w:cs="Tahoma"/>
                <w:b/>
                <w:bCs/>
                <w:sz w:val="16"/>
                <w:szCs w:val="16"/>
              </w:rPr>
            </w:pPr>
          </w:p>
        </w:tc>
        <w:tc>
          <w:tcPr>
            <w:tcW w:w="646"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CH</w:t>
            </w:r>
          </w:p>
        </w:tc>
        <w:tc>
          <w:tcPr>
            <w:tcW w:w="979" w:type="dxa"/>
            <w:tcBorders>
              <w:top w:val="single" w:sz="4" w:space="0" w:color="auto"/>
              <w:bottom w:val="single" w:sz="4" w:space="0" w:color="auto"/>
            </w:tcBorders>
            <w:tcMar>
              <w:top w:w="85" w:type="dxa"/>
              <w:bottom w:w="85" w:type="dxa"/>
            </w:tcMar>
          </w:tcPr>
          <w:p w:rsidR="00993467" w:rsidRPr="0055765D" w:rsidRDefault="00FF185B" w:rsidP="00FF185B">
            <w:pPr>
              <w:widowControl w:val="0"/>
              <w:rPr>
                <w:rFonts w:ascii="Verdana" w:hAnsi="Verdana" w:cs="Tahoma"/>
                <w:sz w:val="16"/>
                <w:szCs w:val="16"/>
              </w:rPr>
            </w:pPr>
            <w:r>
              <w:rPr>
                <w:rFonts w:ascii="Verdana" w:hAnsi="Verdana"/>
                <w:sz w:val="16"/>
              </w:rPr>
              <w:t xml:space="preserve">   Nízka</w:t>
            </w:r>
          </w:p>
        </w:tc>
        <w:tc>
          <w:tcPr>
            <w:tcW w:w="1418" w:type="dxa"/>
            <w:tcBorders>
              <w:top w:val="single" w:sz="4" w:space="0" w:color="auto"/>
              <w:bottom w:val="single" w:sz="4" w:space="0" w:color="auto"/>
            </w:tcBorders>
            <w:tcMar>
              <w:top w:w="85" w:type="dxa"/>
              <w:bottom w:w="85" w:type="dxa"/>
            </w:tcMar>
          </w:tcPr>
          <w:p w:rsidR="00993467" w:rsidRPr="0055765D" w:rsidRDefault="00FF185B" w:rsidP="00F13477">
            <w:pPr>
              <w:widowControl w:val="0"/>
              <w:jc w:val="center"/>
              <w:rPr>
                <w:rFonts w:ascii="Verdana" w:hAnsi="Verdana" w:cs="Tahoma"/>
                <w:sz w:val="16"/>
                <w:szCs w:val="16"/>
              </w:rPr>
            </w:pPr>
            <w:r>
              <w:rPr>
                <w:rFonts w:ascii="Verdana" w:hAnsi="Verdana"/>
                <w:sz w:val="16"/>
              </w:rPr>
              <w:t>Vysoká</w:t>
            </w:r>
          </w:p>
        </w:tc>
        <w:tc>
          <w:tcPr>
            <w:tcW w:w="850" w:type="dxa"/>
            <w:tcBorders>
              <w:top w:val="single" w:sz="4" w:space="0" w:color="auto"/>
              <w:bottom w:val="single" w:sz="4" w:space="0" w:color="auto"/>
            </w:tcBorders>
            <w:shd w:val="clear" w:color="auto" w:fill="FFC000"/>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3</w:t>
            </w:r>
          </w:p>
        </w:tc>
        <w:tc>
          <w:tcPr>
            <w:tcW w:w="2268" w:type="dxa"/>
            <w:tcBorders>
              <w:top w:val="single" w:sz="4" w:space="0" w:color="auto"/>
              <w:bottom w:val="single" w:sz="4" w:space="0" w:color="auto"/>
            </w:tcBorders>
            <w:tcMar>
              <w:top w:w="85" w:type="dxa"/>
              <w:bottom w:w="85" w:type="dxa"/>
            </w:tcMar>
          </w:tcPr>
          <w:p w:rsidR="004A2A8A" w:rsidRDefault="004A2A8A" w:rsidP="004E54A8">
            <w:pPr>
              <w:widowControl w:val="0"/>
              <w:rPr>
                <w:rFonts w:ascii="Verdana" w:hAnsi="Verdana" w:cs="Tahoma"/>
                <w:sz w:val="16"/>
                <w:szCs w:val="16"/>
              </w:rPr>
            </w:pPr>
          </w:p>
          <w:p w:rsidR="0072409A" w:rsidRPr="0072409A" w:rsidRDefault="0072409A" w:rsidP="004E54A8">
            <w:pPr>
              <w:widowControl w:val="0"/>
              <w:rPr>
                <w:rFonts w:ascii="Verdana" w:hAnsi="Verdana" w:cs="Tahoma"/>
                <w:sz w:val="16"/>
                <w:szCs w:val="16"/>
              </w:rPr>
            </w:pPr>
            <w:r>
              <w:rPr>
                <w:rFonts w:ascii="Verdana" w:hAnsi="Verdana"/>
                <w:sz w:val="16"/>
              </w:rPr>
              <w:t>Ďalej uvedené kontaminanty sa všeobecne nekoncentrujú v glyceríne, ale v metylesteroch mastných kyselín.</w:t>
            </w:r>
          </w:p>
        </w:tc>
        <w:tc>
          <w:tcPr>
            <w:tcW w:w="1985" w:type="dxa"/>
            <w:tcBorders>
              <w:top w:val="single" w:sz="4" w:space="0" w:color="auto"/>
              <w:bottom w:val="single" w:sz="4" w:space="0" w:color="auto"/>
            </w:tcBorders>
            <w:tcMar>
              <w:top w:w="85" w:type="dxa"/>
              <w:bottom w:w="85" w:type="dxa"/>
            </w:tcMar>
          </w:tcPr>
          <w:p w:rsidR="00993467" w:rsidRPr="0055765D" w:rsidRDefault="0072409A" w:rsidP="004E54A8">
            <w:pPr>
              <w:widowControl w:val="0"/>
              <w:rPr>
                <w:rFonts w:ascii="Verdana" w:hAnsi="Verdana"/>
                <w:sz w:val="16"/>
                <w:szCs w:val="16"/>
              </w:rPr>
            </w:pPr>
            <w:r>
              <w:rPr>
                <w:rFonts w:ascii="Verdana" w:hAnsi="Verdana"/>
                <w:sz w:val="16"/>
              </w:rPr>
              <w:t>Smernica 2002/32/ES o nežiaducich látkach v krmivách</w:t>
            </w:r>
          </w:p>
          <w:p w:rsidR="00993467" w:rsidRPr="0055765D" w:rsidRDefault="00993467" w:rsidP="004E54A8">
            <w:pPr>
              <w:widowControl w:val="0"/>
              <w:rPr>
                <w:rFonts w:ascii="Verdana" w:hAnsi="Verdana" w:cs="Tahoma"/>
                <w:sz w:val="16"/>
                <w:szCs w:val="16"/>
              </w:rPr>
            </w:pPr>
          </w:p>
        </w:tc>
        <w:tc>
          <w:tcPr>
            <w:tcW w:w="2551" w:type="dxa"/>
            <w:tcBorders>
              <w:top w:val="single" w:sz="4" w:space="0" w:color="auto"/>
              <w:bottom w:val="single" w:sz="4" w:space="0" w:color="auto"/>
            </w:tcBorders>
            <w:tcMar>
              <w:top w:w="85" w:type="dxa"/>
              <w:bottom w:w="85" w:type="dxa"/>
            </w:tcMar>
          </w:tcPr>
          <w:p w:rsidR="00993467" w:rsidRPr="0055765D" w:rsidRDefault="00993467" w:rsidP="00127622">
            <w:pPr>
              <w:widowControl w:val="0"/>
              <w:rPr>
                <w:rFonts w:ascii="Verdana" w:hAnsi="Verdana" w:cs="Tahoma"/>
                <w:sz w:val="16"/>
                <w:szCs w:val="16"/>
              </w:rPr>
            </w:pPr>
            <w:r>
              <w:rPr>
                <w:rFonts w:ascii="Verdana" w:hAnsi="Verdana"/>
                <w:sz w:val="16"/>
              </w:rPr>
              <w:t>Plán monitorovania</w:t>
            </w:r>
          </w:p>
        </w:tc>
        <w:tc>
          <w:tcPr>
            <w:tcW w:w="2127"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r>
              <w:rPr>
                <w:rFonts w:ascii="Verdana" w:hAnsi="Verdana"/>
                <w:sz w:val="16"/>
              </w:rPr>
              <w:t>Za normálnych okolností je PRAVDEPODOBNOSŤ kontaminácie nežiaducou látkou NÍZKA – ak výrobca nakupuje surovinu nižšej kvality, toto riziko sa zvýši na strednú pravdepodobnosť.</w:t>
            </w:r>
          </w:p>
        </w:tc>
      </w:tr>
      <w:tr w:rsidR="00993467" w:rsidRPr="00073614" w:rsidTr="00515881">
        <w:trPr>
          <w:trHeight w:val="145"/>
        </w:trPr>
        <w:tc>
          <w:tcPr>
            <w:tcW w:w="1885" w:type="dxa"/>
            <w:tcBorders>
              <w:top w:val="single" w:sz="4" w:space="0" w:color="auto"/>
              <w:bottom w:val="single" w:sz="4" w:space="0" w:color="auto"/>
            </w:tcBorders>
            <w:tcMar>
              <w:top w:w="85" w:type="dxa"/>
              <w:bottom w:w="85" w:type="dxa"/>
            </w:tcMar>
          </w:tcPr>
          <w:p w:rsidR="00993467" w:rsidRPr="00120270" w:rsidRDefault="00993467" w:rsidP="0085166B">
            <w:pPr>
              <w:widowControl w:val="0"/>
              <w:rPr>
                <w:rFonts w:ascii="Verdana" w:hAnsi="Verdana" w:cs="Tahoma"/>
                <w:b/>
                <w:bCs/>
                <w:sz w:val="16"/>
                <w:szCs w:val="16"/>
              </w:rPr>
            </w:pPr>
            <w:r>
              <w:rPr>
                <w:rFonts w:ascii="Verdana" w:hAnsi="Verdana"/>
                <w:b/>
                <w:sz w:val="16"/>
              </w:rPr>
              <w:t>– Dioxíny a dioxínom podobný PCB</w:t>
            </w:r>
          </w:p>
        </w:tc>
        <w:tc>
          <w:tcPr>
            <w:tcW w:w="646"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CH</w:t>
            </w:r>
          </w:p>
        </w:tc>
        <w:tc>
          <w:tcPr>
            <w:tcW w:w="979" w:type="dxa"/>
            <w:tcBorders>
              <w:top w:val="single" w:sz="4" w:space="0" w:color="auto"/>
              <w:bottom w:val="single" w:sz="4" w:space="0" w:color="auto"/>
            </w:tcBorders>
            <w:tcMar>
              <w:top w:w="85" w:type="dxa"/>
              <w:bottom w:w="85" w:type="dxa"/>
            </w:tcMar>
          </w:tcPr>
          <w:p w:rsidR="00993467" w:rsidRPr="0055765D" w:rsidRDefault="00CC2654" w:rsidP="004E54A8">
            <w:pPr>
              <w:widowControl w:val="0"/>
              <w:jc w:val="center"/>
              <w:rPr>
                <w:rFonts w:ascii="Verdana" w:hAnsi="Verdana" w:cs="Tahoma"/>
                <w:sz w:val="16"/>
                <w:szCs w:val="16"/>
              </w:rPr>
            </w:pPr>
            <w:r>
              <w:rPr>
                <w:rFonts w:ascii="Verdana" w:hAnsi="Verdana"/>
                <w:sz w:val="16"/>
              </w:rPr>
              <w:t>Veľmi nízka</w:t>
            </w:r>
          </w:p>
        </w:tc>
        <w:tc>
          <w:tcPr>
            <w:tcW w:w="1418"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Vysoká</w:t>
            </w:r>
          </w:p>
        </w:tc>
        <w:tc>
          <w:tcPr>
            <w:tcW w:w="850" w:type="dxa"/>
            <w:tcBorders>
              <w:top w:val="single" w:sz="4" w:space="0" w:color="auto"/>
              <w:bottom w:val="single" w:sz="4" w:space="0" w:color="auto"/>
            </w:tcBorders>
            <w:shd w:val="clear" w:color="auto" w:fill="auto"/>
            <w:tcMar>
              <w:top w:w="85" w:type="dxa"/>
              <w:bottom w:w="85" w:type="dxa"/>
            </w:tcMar>
          </w:tcPr>
          <w:p w:rsidR="00993467" w:rsidRPr="0055765D" w:rsidRDefault="00494D0C" w:rsidP="004E54A8">
            <w:pPr>
              <w:widowControl w:val="0"/>
              <w:jc w:val="center"/>
              <w:rPr>
                <w:rFonts w:ascii="Verdana" w:hAnsi="Verdana" w:cs="Tahoma"/>
                <w:sz w:val="16"/>
                <w:szCs w:val="16"/>
              </w:rPr>
            </w:pPr>
            <w:r>
              <w:rPr>
                <w:rFonts w:ascii="Verdana" w:hAnsi="Verdana"/>
                <w:sz w:val="16"/>
              </w:rPr>
              <w:t>2</w:t>
            </w:r>
          </w:p>
        </w:tc>
        <w:tc>
          <w:tcPr>
            <w:tcW w:w="2268"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p>
        </w:tc>
        <w:tc>
          <w:tcPr>
            <w:tcW w:w="1985" w:type="dxa"/>
            <w:tcBorders>
              <w:top w:val="single" w:sz="4" w:space="0" w:color="auto"/>
              <w:bottom w:val="single" w:sz="4" w:space="0" w:color="auto"/>
            </w:tcBorders>
            <w:tcMar>
              <w:top w:w="85" w:type="dxa"/>
              <w:bottom w:w="85" w:type="dxa"/>
            </w:tcMar>
          </w:tcPr>
          <w:p w:rsidR="00993467" w:rsidRPr="0055765D" w:rsidRDefault="004D7CE5" w:rsidP="004D7CE5">
            <w:pPr>
              <w:widowControl w:val="0"/>
              <w:rPr>
                <w:rFonts w:ascii="Verdana" w:hAnsi="Verdana" w:cs="Tahoma"/>
                <w:sz w:val="16"/>
                <w:szCs w:val="16"/>
              </w:rPr>
            </w:pPr>
            <w:r>
              <w:rPr>
                <w:rFonts w:ascii="Verdana" w:hAnsi="Verdana"/>
                <w:sz w:val="16"/>
              </w:rPr>
              <w:t>Smernica 2002/32/ES a nariadenie (EÚ) č. 225/2012</w:t>
            </w:r>
          </w:p>
        </w:tc>
        <w:tc>
          <w:tcPr>
            <w:tcW w:w="2551"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r>
              <w:rPr>
                <w:rFonts w:ascii="Verdana" w:hAnsi="Verdana"/>
                <w:sz w:val="16"/>
              </w:rPr>
              <w:t>Plán monitorovania</w:t>
            </w:r>
          </w:p>
        </w:tc>
        <w:tc>
          <w:tcPr>
            <w:tcW w:w="2127" w:type="dxa"/>
            <w:tcBorders>
              <w:top w:val="single" w:sz="4" w:space="0" w:color="auto"/>
              <w:bottom w:val="single" w:sz="4" w:space="0" w:color="auto"/>
            </w:tcBorders>
            <w:tcMar>
              <w:top w:w="85" w:type="dxa"/>
              <w:bottom w:w="85" w:type="dxa"/>
            </w:tcMar>
          </w:tcPr>
          <w:p w:rsidR="00993467" w:rsidRPr="0055765D" w:rsidRDefault="004D7CE5" w:rsidP="00C0787D">
            <w:pPr>
              <w:widowControl w:val="0"/>
              <w:rPr>
                <w:rFonts w:ascii="Verdana" w:hAnsi="Verdana" w:cs="Tahoma"/>
                <w:sz w:val="16"/>
                <w:szCs w:val="16"/>
              </w:rPr>
            </w:pPr>
            <w:r>
              <w:rPr>
                <w:rFonts w:ascii="Verdana" w:hAnsi="Verdana"/>
                <w:sz w:val="16"/>
              </w:rPr>
              <w:t>V nariadení (EÚ) č. 225/2012 o dioxínoch sa pri určitých vstupných produktoch uvádza 100 % monitorovanie dioxínov.</w:t>
            </w:r>
          </w:p>
        </w:tc>
      </w:tr>
      <w:tr w:rsidR="00993467" w:rsidRPr="00073614" w:rsidTr="00F81C3B">
        <w:trPr>
          <w:trHeight w:val="145"/>
        </w:trPr>
        <w:tc>
          <w:tcPr>
            <w:tcW w:w="1885"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b/>
                <w:bCs/>
                <w:sz w:val="16"/>
                <w:szCs w:val="16"/>
              </w:rPr>
            </w:pPr>
            <w:r>
              <w:rPr>
                <w:rFonts w:ascii="Verdana" w:hAnsi="Verdana"/>
                <w:b/>
                <w:sz w:val="16"/>
              </w:rPr>
              <w:t>– Nikel</w:t>
            </w:r>
          </w:p>
        </w:tc>
        <w:tc>
          <w:tcPr>
            <w:tcW w:w="646"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CH</w:t>
            </w:r>
          </w:p>
        </w:tc>
        <w:tc>
          <w:tcPr>
            <w:tcW w:w="979"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Nízka</w:t>
            </w:r>
          </w:p>
        </w:tc>
        <w:tc>
          <w:tcPr>
            <w:tcW w:w="1418"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Vysoká</w:t>
            </w:r>
          </w:p>
        </w:tc>
        <w:tc>
          <w:tcPr>
            <w:tcW w:w="850" w:type="dxa"/>
            <w:tcBorders>
              <w:top w:val="single" w:sz="4" w:space="0" w:color="auto"/>
              <w:bottom w:val="single" w:sz="4" w:space="0" w:color="auto"/>
            </w:tcBorders>
            <w:shd w:val="clear" w:color="auto" w:fill="FFC000"/>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3</w:t>
            </w:r>
          </w:p>
        </w:tc>
        <w:tc>
          <w:tcPr>
            <w:tcW w:w="2268"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p>
        </w:tc>
        <w:tc>
          <w:tcPr>
            <w:tcW w:w="1985"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sz w:val="16"/>
                <w:szCs w:val="16"/>
              </w:rPr>
            </w:pPr>
            <w:r>
              <w:rPr>
                <w:rFonts w:ascii="Verdana" w:hAnsi="Verdana"/>
                <w:sz w:val="16"/>
              </w:rPr>
              <w:t>Nariadenie (EÚ) č. 68/2013 o Katalógu kŕmnych surovín</w:t>
            </w:r>
          </w:p>
        </w:tc>
        <w:tc>
          <w:tcPr>
            <w:tcW w:w="2551"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r>
              <w:rPr>
                <w:rFonts w:ascii="Verdana" w:hAnsi="Verdana"/>
                <w:sz w:val="16"/>
              </w:rPr>
              <w:t>Plán monitorovania</w:t>
            </w:r>
          </w:p>
        </w:tc>
        <w:tc>
          <w:tcPr>
            <w:tcW w:w="2127" w:type="dxa"/>
            <w:tcBorders>
              <w:top w:val="single" w:sz="4" w:space="0" w:color="auto"/>
              <w:bottom w:val="single" w:sz="4" w:space="0" w:color="auto"/>
            </w:tcBorders>
            <w:tcMar>
              <w:top w:w="85" w:type="dxa"/>
              <w:bottom w:w="85" w:type="dxa"/>
            </w:tcMar>
          </w:tcPr>
          <w:p w:rsidR="00993467" w:rsidRPr="0055765D" w:rsidRDefault="00CC2654" w:rsidP="00C0787D">
            <w:pPr>
              <w:widowControl w:val="0"/>
              <w:rPr>
                <w:rFonts w:ascii="Verdana" w:hAnsi="Verdana" w:cs="Tahoma"/>
                <w:sz w:val="16"/>
                <w:szCs w:val="16"/>
              </w:rPr>
            </w:pPr>
            <w:r>
              <w:rPr>
                <w:rFonts w:ascii="Verdana" w:hAnsi="Verdana"/>
                <w:sz w:val="16"/>
              </w:rPr>
              <w:t>Pri výrobe bionafty sa nikel vo väčšine prípadov nepoužíva.</w:t>
            </w:r>
          </w:p>
        </w:tc>
      </w:tr>
      <w:tr w:rsidR="00993467" w:rsidRPr="00073614" w:rsidTr="00515881">
        <w:trPr>
          <w:trHeight w:val="145"/>
        </w:trPr>
        <w:tc>
          <w:tcPr>
            <w:tcW w:w="1885" w:type="dxa"/>
            <w:tcBorders>
              <w:top w:val="single" w:sz="4" w:space="0" w:color="auto"/>
              <w:bottom w:val="single" w:sz="4" w:space="0" w:color="auto"/>
            </w:tcBorders>
            <w:tcMar>
              <w:top w:w="85" w:type="dxa"/>
              <w:bottom w:w="85" w:type="dxa"/>
            </w:tcMar>
          </w:tcPr>
          <w:p w:rsidR="00993467" w:rsidRPr="0055765D" w:rsidRDefault="006221FD" w:rsidP="004D7CE5">
            <w:pPr>
              <w:widowControl w:val="0"/>
              <w:rPr>
                <w:rFonts w:ascii="Verdana" w:hAnsi="Verdana" w:cs="Tahoma"/>
                <w:b/>
                <w:bCs/>
                <w:sz w:val="16"/>
                <w:szCs w:val="16"/>
              </w:rPr>
            </w:pPr>
            <w:r>
              <w:rPr>
                <w:rFonts w:ascii="Verdana" w:hAnsi="Verdana"/>
                <w:b/>
                <w:sz w:val="16"/>
              </w:rPr>
              <w:t>– Dioxínom nepodobný PCB</w:t>
            </w:r>
          </w:p>
        </w:tc>
        <w:tc>
          <w:tcPr>
            <w:tcW w:w="646"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CH</w:t>
            </w:r>
          </w:p>
        </w:tc>
        <w:tc>
          <w:tcPr>
            <w:tcW w:w="979" w:type="dxa"/>
            <w:tcBorders>
              <w:top w:val="single" w:sz="4" w:space="0" w:color="auto"/>
              <w:bottom w:val="single" w:sz="4" w:space="0" w:color="auto"/>
            </w:tcBorders>
            <w:tcMar>
              <w:top w:w="85" w:type="dxa"/>
              <w:bottom w:w="85" w:type="dxa"/>
            </w:tcMar>
          </w:tcPr>
          <w:p w:rsidR="00993467" w:rsidRPr="0055765D" w:rsidRDefault="00CC2654" w:rsidP="004E54A8">
            <w:pPr>
              <w:widowControl w:val="0"/>
              <w:jc w:val="center"/>
              <w:rPr>
                <w:rFonts w:ascii="Verdana" w:hAnsi="Verdana" w:cs="Tahoma"/>
                <w:sz w:val="16"/>
                <w:szCs w:val="16"/>
              </w:rPr>
            </w:pPr>
            <w:r>
              <w:rPr>
                <w:rFonts w:ascii="Verdana" w:hAnsi="Verdana"/>
                <w:sz w:val="16"/>
              </w:rPr>
              <w:t>Veľmi nízka</w:t>
            </w:r>
          </w:p>
        </w:tc>
        <w:tc>
          <w:tcPr>
            <w:tcW w:w="1418"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Vysoká</w:t>
            </w:r>
          </w:p>
        </w:tc>
        <w:tc>
          <w:tcPr>
            <w:tcW w:w="850" w:type="dxa"/>
            <w:tcBorders>
              <w:top w:val="single" w:sz="4" w:space="0" w:color="auto"/>
              <w:bottom w:val="single" w:sz="4" w:space="0" w:color="auto"/>
            </w:tcBorders>
            <w:shd w:val="clear" w:color="auto" w:fill="auto"/>
            <w:tcMar>
              <w:top w:w="85" w:type="dxa"/>
              <w:bottom w:w="85" w:type="dxa"/>
            </w:tcMar>
          </w:tcPr>
          <w:p w:rsidR="00993467" w:rsidRPr="0055765D" w:rsidRDefault="00494D0C" w:rsidP="004E54A8">
            <w:pPr>
              <w:widowControl w:val="0"/>
              <w:jc w:val="center"/>
              <w:rPr>
                <w:rFonts w:ascii="Verdana" w:hAnsi="Verdana" w:cs="Tahoma"/>
                <w:sz w:val="16"/>
                <w:szCs w:val="16"/>
              </w:rPr>
            </w:pPr>
            <w:r>
              <w:rPr>
                <w:rFonts w:ascii="Verdana" w:hAnsi="Verdana"/>
                <w:sz w:val="16"/>
              </w:rPr>
              <w:t>2</w:t>
            </w:r>
          </w:p>
        </w:tc>
        <w:tc>
          <w:tcPr>
            <w:tcW w:w="2268"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p>
        </w:tc>
        <w:tc>
          <w:tcPr>
            <w:tcW w:w="1985" w:type="dxa"/>
            <w:tcBorders>
              <w:top w:val="single" w:sz="4" w:space="0" w:color="auto"/>
              <w:bottom w:val="single" w:sz="4" w:space="0" w:color="auto"/>
            </w:tcBorders>
            <w:tcMar>
              <w:top w:w="85" w:type="dxa"/>
              <w:bottom w:w="85" w:type="dxa"/>
            </w:tcMar>
          </w:tcPr>
          <w:p w:rsidR="00993467" w:rsidRDefault="00993467" w:rsidP="00CC2654">
            <w:pPr>
              <w:widowControl w:val="0"/>
              <w:rPr>
                <w:rFonts w:ascii="Verdana" w:hAnsi="Verdana"/>
                <w:sz w:val="16"/>
                <w:szCs w:val="16"/>
              </w:rPr>
            </w:pPr>
          </w:p>
          <w:p w:rsidR="004D7CE5" w:rsidRPr="0055765D" w:rsidRDefault="004D7CE5" w:rsidP="00CC2654">
            <w:pPr>
              <w:widowControl w:val="0"/>
              <w:rPr>
                <w:rFonts w:ascii="Verdana" w:hAnsi="Verdana"/>
                <w:sz w:val="16"/>
                <w:szCs w:val="16"/>
              </w:rPr>
            </w:pPr>
            <w:r>
              <w:rPr>
                <w:rFonts w:ascii="Verdana" w:hAnsi="Verdana"/>
                <w:sz w:val="16"/>
              </w:rPr>
              <w:t>Smernica 2002/32/ES o nežiaducich látkach v krmivách</w:t>
            </w:r>
          </w:p>
        </w:tc>
        <w:tc>
          <w:tcPr>
            <w:tcW w:w="2551" w:type="dxa"/>
            <w:tcBorders>
              <w:top w:val="single" w:sz="4" w:space="0" w:color="auto"/>
              <w:bottom w:val="single" w:sz="4" w:space="0" w:color="auto"/>
            </w:tcBorders>
            <w:tcMar>
              <w:top w:w="85" w:type="dxa"/>
              <w:bottom w:w="85" w:type="dxa"/>
            </w:tcMar>
          </w:tcPr>
          <w:p w:rsidR="00993467" w:rsidRDefault="00993467" w:rsidP="004E54A8">
            <w:pPr>
              <w:widowControl w:val="0"/>
              <w:rPr>
                <w:rFonts w:ascii="Verdana" w:hAnsi="Verdana" w:cs="Tahoma"/>
                <w:sz w:val="16"/>
                <w:szCs w:val="16"/>
              </w:rPr>
            </w:pPr>
            <w:r>
              <w:rPr>
                <w:rFonts w:ascii="Verdana" w:hAnsi="Verdana"/>
                <w:sz w:val="16"/>
              </w:rPr>
              <w:t>Plán monitorovania</w:t>
            </w:r>
          </w:p>
          <w:p w:rsidR="00D05EA6" w:rsidRPr="004D7CE5" w:rsidRDefault="00D05EA6" w:rsidP="004D7CE5">
            <w:pPr>
              <w:widowControl w:val="0"/>
              <w:rPr>
                <w:rFonts w:ascii="Verdana" w:hAnsi="Verdana" w:cs="Tahoma"/>
                <w:sz w:val="16"/>
                <w:szCs w:val="16"/>
              </w:rPr>
            </w:pPr>
          </w:p>
        </w:tc>
        <w:tc>
          <w:tcPr>
            <w:tcW w:w="2127" w:type="dxa"/>
            <w:tcBorders>
              <w:top w:val="single" w:sz="4" w:space="0" w:color="auto"/>
              <w:bottom w:val="single" w:sz="4" w:space="0" w:color="auto"/>
            </w:tcBorders>
            <w:tcMar>
              <w:top w:w="85" w:type="dxa"/>
              <w:bottom w:w="85" w:type="dxa"/>
            </w:tcMar>
          </w:tcPr>
          <w:p w:rsidR="00993467" w:rsidRPr="0055765D" w:rsidRDefault="00993467" w:rsidP="00C0787D">
            <w:pPr>
              <w:widowControl w:val="0"/>
              <w:rPr>
                <w:rFonts w:ascii="Verdana" w:hAnsi="Verdana" w:cs="Tahoma"/>
                <w:sz w:val="16"/>
                <w:szCs w:val="16"/>
              </w:rPr>
            </w:pPr>
          </w:p>
        </w:tc>
      </w:tr>
      <w:tr w:rsidR="00993467" w:rsidRPr="00073614" w:rsidTr="00F81C3B">
        <w:trPr>
          <w:trHeight w:val="145"/>
        </w:trPr>
        <w:tc>
          <w:tcPr>
            <w:tcW w:w="1885"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b/>
                <w:bCs/>
                <w:sz w:val="16"/>
                <w:szCs w:val="16"/>
              </w:rPr>
            </w:pPr>
            <w:r>
              <w:rPr>
                <w:rFonts w:ascii="Verdana" w:hAnsi="Verdana"/>
                <w:b/>
                <w:sz w:val="16"/>
              </w:rPr>
              <w:t>– PAU</w:t>
            </w:r>
          </w:p>
          <w:p w:rsidR="00993467" w:rsidRPr="0055765D" w:rsidRDefault="00993467" w:rsidP="004E54A8">
            <w:pPr>
              <w:widowControl w:val="0"/>
              <w:rPr>
                <w:rFonts w:ascii="Verdana" w:hAnsi="Verdana" w:cs="Tahoma"/>
                <w:b/>
                <w:bCs/>
                <w:sz w:val="16"/>
                <w:szCs w:val="16"/>
              </w:rPr>
            </w:pPr>
          </w:p>
        </w:tc>
        <w:tc>
          <w:tcPr>
            <w:tcW w:w="646"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CH</w:t>
            </w:r>
          </w:p>
        </w:tc>
        <w:tc>
          <w:tcPr>
            <w:tcW w:w="979"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Nízka</w:t>
            </w:r>
          </w:p>
        </w:tc>
        <w:tc>
          <w:tcPr>
            <w:tcW w:w="1418"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Vysoká</w:t>
            </w:r>
          </w:p>
        </w:tc>
        <w:tc>
          <w:tcPr>
            <w:tcW w:w="850" w:type="dxa"/>
            <w:tcBorders>
              <w:top w:val="single" w:sz="4" w:space="0" w:color="auto"/>
              <w:bottom w:val="single" w:sz="4" w:space="0" w:color="auto"/>
            </w:tcBorders>
            <w:shd w:val="clear" w:color="auto" w:fill="FFC000"/>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3</w:t>
            </w:r>
          </w:p>
        </w:tc>
        <w:tc>
          <w:tcPr>
            <w:tcW w:w="2268"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p>
        </w:tc>
        <w:tc>
          <w:tcPr>
            <w:tcW w:w="1985"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sz w:val="16"/>
                <w:szCs w:val="16"/>
              </w:rPr>
            </w:pPr>
          </w:p>
        </w:tc>
        <w:tc>
          <w:tcPr>
            <w:tcW w:w="2551"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r>
              <w:rPr>
                <w:rFonts w:ascii="Verdana" w:hAnsi="Verdana"/>
                <w:sz w:val="16"/>
              </w:rPr>
              <w:t>Plán monitorovania</w:t>
            </w:r>
          </w:p>
        </w:tc>
        <w:tc>
          <w:tcPr>
            <w:tcW w:w="2127" w:type="dxa"/>
            <w:tcBorders>
              <w:top w:val="single" w:sz="4" w:space="0" w:color="auto"/>
              <w:bottom w:val="single" w:sz="4" w:space="0" w:color="auto"/>
            </w:tcBorders>
            <w:tcMar>
              <w:top w:w="85" w:type="dxa"/>
              <w:bottom w:w="85" w:type="dxa"/>
            </w:tcMar>
          </w:tcPr>
          <w:p w:rsidR="00993467" w:rsidRPr="0055765D" w:rsidRDefault="00993467" w:rsidP="00C0787D">
            <w:pPr>
              <w:widowControl w:val="0"/>
              <w:rPr>
                <w:rFonts w:ascii="Verdana" w:hAnsi="Verdana" w:cs="Tahoma"/>
                <w:sz w:val="16"/>
                <w:szCs w:val="16"/>
              </w:rPr>
            </w:pPr>
          </w:p>
        </w:tc>
      </w:tr>
      <w:tr w:rsidR="00993467" w:rsidRPr="00073614" w:rsidTr="00993467">
        <w:trPr>
          <w:trHeight w:val="145"/>
        </w:trPr>
        <w:tc>
          <w:tcPr>
            <w:tcW w:w="1885"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b/>
                <w:bCs/>
                <w:sz w:val="16"/>
                <w:szCs w:val="16"/>
              </w:rPr>
            </w:pPr>
            <w:r>
              <w:rPr>
                <w:rFonts w:ascii="Verdana" w:hAnsi="Verdana"/>
                <w:b/>
                <w:sz w:val="16"/>
              </w:rPr>
              <w:lastRenderedPageBreak/>
              <w:t>Rezíduá pesticídov nad maximálnymi hladinami rezíduí (MRL), t. j. rezíduá herbicídov, insekticídov, fungicídov alebo rodenticídov nad MRL.</w:t>
            </w:r>
          </w:p>
          <w:p w:rsidR="006221FD" w:rsidRPr="0055765D" w:rsidRDefault="006221FD" w:rsidP="004E54A8">
            <w:pPr>
              <w:widowControl w:val="0"/>
              <w:rPr>
                <w:rFonts w:ascii="Verdana" w:hAnsi="Verdana" w:cs="Tahoma"/>
                <w:b/>
                <w:bCs/>
                <w:sz w:val="16"/>
                <w:szCs w:val="16"/>
              </w:rPr>
            </w:pPr>
          </w:p>
        </w:tc>
        <w:tc>
          <w:tcPr>
            <w:tcW w:w="646"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CH</w:t>
            </w:r>
          </w:p>
        </w:tc>
        <w:tc>
          <w:tcPr>
            <w:tcW w:w="979" w:type="dxa"/>
            <w:tcBorders>
              <w:top w:val="single" w:sz="4" w:space="0" w:color="auto"/>
              <w:bottom w:val="single" w:sz="4" w:space="0" w:color="auto"/>
            </w:tcBorders>
            <w:tcMar>
              <w:top w:w="85" w:type="dxa"/>
              <w:bottom w:w="85" w:type="dxa"/>
            </w:tcMar>
          </w:tcPr>
          <w:p w:rsidR="00993467" w:rsidRPr="0055765D" w:rsidRDefault="00FF185B" w:rsidP="004E54A8">
            <w:pPr>
              <w:widowControl w:val="0"/>
              <w:jc w:val="center"/>
              <w:rPr>
                <w:rFonts w:ascii="Verdana" w:hAnsi="Verdana" w:cs="Tahoma"/>
                <w:sz w:val="16"/>
                <w:szCs w:val="16"/>
              </w:rPr>
            </w:pPr>
            <w:r>
              <w:rPr>
                <w:rFonts w:ascii="Verdana" w:hAnsi="Verdana"/>
                <w:sz w:val="16"/>
              </w:rPr>
              <w:t>Nízka</w:t>
            </w:r>
          </w:p>
        </w:tc>
        <w:tc>
          <w:tcPr>
            <w:tcW w:w="1418" w:type="dxa"/>
            <w:tcBorders>
              <w:top w:val="single" w:sz="4" w:space="0" w:color="auto"/>
              <w:bottom w:val="single" w:sz="4" w:space="0" w:color="auto"/>
            </w:tcBorders>
            <w:tcMar>
              <w:top w:w="85" w:type="dxa"/>
              <w:bottom w:w="85" w:type="dxa"/>
            </w:tcMar>
          </w:tcPr>
          <w:p w:rsidR="00993467" w:rsidRPr="0055765D" w:rsidRDefault="00FF185B" w:rsidP="004E54A8">
            <w:pPr>
              <w:widowControl w:val="0"/>
              <w:jc w:val="center"/>
              <w:rPr>
                <w:rFonts w:ascii="Verdana" w:hAnsi="Verdana" w:cs="Tahoma"/>
                <w:sz w:val="16"/>
                <w:szCs w:val="16"/>
              </w:rPr>
            </w:pPr>
            <w:r>
              <w:rPr>
                <w:rFonts w:ascii="Verdana" w:hAnsi="Verdana"/>
                <w:sz w:val="16"/>
              </w:rPr>
              <w:t>Stredná</w:t>
            </w:r>
          </w:p>
        </w:tc>
        <w:tc>
          <w:tcPr>
            <w:tcW w:w="850" w:type="dxa"/>
            <w:tcBorders>
              <w:top w:val="single" w:sz="4" w:space="0" w:color="auto"/>
              <w:bottom w:val="single" w:sz="4" w:space="0" w:color="auto"/>
            </w:tcBorders>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2</w:t>
            </w:r>
          </w:p>
        </w:tc>
        <w:tc>
          <w:tcPr>
            <w:tcW w:w="2268"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r>
              <w:rPr>
                <w:rFonts w:ascii="Verdana" w:hAnsi="Verdana"/>
                <w:sz w:val="16"/>
              </w:rPr>
              <w:t xml:space="preserve">Z pravidelného monitorovania rezíduí pesticídov v surovom oleji vyplýva, že surový olej spĺňa zákonné limity týchto rezíduí. </w:t>
            </w:r>
          </w:p>
        </w:tc>
        <w:tc>
          <w:tcPr>
            <w:tcW w:w="1985"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sz w:val="16"/>
                <w:szCs w:val="16"/>
              </w:rPr>
            </w:pPr>
            <w:r>
              <w:rPr>
                <w:rFonts w:ascii="Verdana" w:hAnsi="Verdana"/>
                <w:sz w:val="16"/>
              </w:rPr>
              <w:t xml:space="preserve">Limity rezíduí pesticídov sa stanovujú v nariadení (ES) č. 396/2005. Týmto nariadením sa umožňuje použiť faktor prenosu povolených pesticídov do spracovaných produktov pod podmienkou, že je zabezpečená bezpečnosť potravín. </w:t>
            </w:r>
          </w:p>
        </w:tc>
        <w:tc>
          <w:tcPr>
            <w:tcW w:w="2551"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r>
              <w:rPr>
                <w:rFonts w:ascii="Verdana" w:hAnsi="Verdana"/>
                <w:sz w:val="16"/>
              </w:rPr>
              <w:t>Plán monitorovania</w:t>
            </w:r>
          </w:p>
        </w:tc>
        <w:tc>
          <w:tcPr>
            <w:tcW w:w="2127" w:type="dxa"/>
            <w:tcBorders>
              <w:top w:val="single" w:sz="4" w:space="0" w:color="auto"/>
              <w:bottom w:val="single" w:sz="4" w:space="0" w:color="auto"/>
            </w:tcBorders>
            <w:tcMar>
              <w:top w:w="85" w:type="dxa"/>
              <w:bottom w:w="85" w:type="dxa"/>
            </w:tcMar>
          </w:tcPr>
          <w:p w:rsidR="00993467" w:rsidRPr="0055765D" w:rsidRDefault="00587768" w:rsidP="00587768">
            <w:pPr>
              <w:widowControl w:val="0"/>
              <w:rPr>
                <w:rFonts w:ascii="Verdana" w:hAnsi="Verdana" w:cs="Tahoma"/>
                <w:sz w:val="16"/>
                <w:szCs w:val="16"/>
              </w:rPr>
            </w:pPr>
            <w:r>
              <w:rPr>
                <w:rFonts w:ascii="Verdana" w:hAnsi="Verdana"/>
                <w:sz w:val="16"/>
              </w:rPr>
              <w:t>Väčšina pesticídov nie je rozpustná vo vode a neprenesie sa do fázy glycerínovej vody.</w:t>
            </w:r>
          </w:p>
        </w:tc>
      </w:tr>
      <w:tr w:rsidR="00993467" w:rsidRPr="00233E3A" w:rsidTr="00993467">
        <w:trPr>
          <w:trHeight w:val="145"/>
        </w:trPr>
        <w:tc>
          <w:tcPr>
            <w:tcW w:w="1885"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i/>
                <w:iCs/>
                <w:color w:val="0000FF"/>
                <w:sz w:val="16"/>
                <w:szCs w:val="16"/>
              </w:rPr>
            </w:pPr>
            <w:r>
              <w:rPr>
                <w:rFonts w:ascii="Verdana" w:hAnsi="Verdana"/>
                <w:b/>
                <w:sz w:val="16"/>
              </w:rPr>
              <w:t>Rezíduá pesticídov uvedené v smernici 2002/32/ES o nežiaducich látkach v krmivách</w:t>
            </w:r>
          </w:p>
        </w:tc>
        <w:tc>
          <w:tcPr>
            <w:tcW w:w="646" w:type="dxa"/>
            <w:tcBorders>
              <w:top w:val="single" w:sz="4" w:space="0" w:color="auto"/>
              <w:bottom w:val="single" w:sz="4" w:space="0" w:color="auto"/>
            </w:tcBorders>
            <w:tcMar>
              <w:top w:w="85" w:type="dxa"/>
              <w:bottom w:w="85" w:type="dxa"/>
            </w:tcMar>
          </w:tcPr>
          <w:p w:rsidR="00993467" w:rsidRPr="0055765D" w:rsidRDefault="00993467" w:rsidP="004E54A8">
            <w:pPr>
              <w:jc w:val="center"/>
              <w:rPr>
                <w:rFonts w:ascii="Verdana" w:hAnsi="Verdana" w:cs="Tahoma"/>
                <w:sz w:val="16"/>
                <w:szCs w:val="16"/>
              </w:rPr>
            </w:pPr>
            <w:r>
              <w:rPr>
                <w:rFonts w:ascii="Verdana" w:hAnsi="Verdana"/>
                <w:sz w:val="16"/>
              </w:rPr>
              <w:t>CH</w:t>
            </w:r>
          </w:p>
        </w:tc>
        <w:tc>
          <w:tcPr>
            <w:tcW w:w="979" w:type="dxa"/>
            <w:tcBorders>
              <w:top w:val="single" w:sz="4" w:space="0" w:color="auto"/>
              <w:bottom w:val="single" w:sz="4" w:space="0" w:color="auto"/>
            </w:tcBorders>
            <w:tcMar>
              <w:top w:w="85" w:type="dxa"/>
              <w:bottom w:w="85" w:type="dxa"/>
            </w:tcMar>
          </w:tcPr>
          <w:p w:rsidR="00993467" w:rsidRPr="0055765D" w:rsidRDefault="00FF185B" w:rsidP="004E54A8">
            <w:pPr>
              <w:jc w:val="center"/>
              <w:rPr>
                <w:rFonts w:ascii="Verdana" w:hAnsi="Verdana" w:cs="Tahoma"/>
                <w:sz w:val="16"/>
                <w:szCs w:val="16"/>
              </w:rPr>
            </w:pPr>
            <w:r>
              <w:rPr>
                <w:rFonts w:ascii="Verdana" w:hAnsi="Verdana"/>
                <w:sz w:val="16"/>
              </w:rPr>
              <w:t>Veľmi nízka</w:t>
            </w:r>
          </w:p>
        </w:tc>
        <w:tc>
          <w:tcPr>
            <w:tcW w:w="1418" w:type="dxa"/>
            <w:tcBorders>
              <w:top w:val="single" w:sz="4" w:space="0" w:color="auto"/>
              <w:bottom w:val="single" w:sz="4" w:space="0" w:color="auto"/>
            </w:tcBorders>
            <w:tcMar>
              <w:top w:w="85" w:type="dxa"/>
              <w:bottom w:w="85" w:type="dxa"/>
            </w:tcMar>
          </w:tcPr>
          <w:p w:rsidR="00993467" w:rsidRPr="0055765D" w:rsidRDefault="00FF185B" w:rsidP="004E54A8">
            <w:pPr>
              <w:jc w:val="center"/>
              <w:rPr>
                <w:rFonts w:ascii="Verdana" w:hAnsi="Verdana" w:cs="Tahoma"/>
                <w:sz w:val="16"/>
                <w:szCs w:val="16"/>
              </w:rPr>
            </w:pPr>
            <w:r>
              <w:rPr>
                <w:rFonts w:ascii="Verdana" w:hAnsi="Verdana"/>
                <w:sz w:val="16"/>
              </w:rPr>
              <w:t>Vysoká</w:t>
            </w:r>
          </w:p>
        </w:tc>
        <w:tc>
          <w:tcPr>
            <w:tcW w:w="850" w:type="dxa"/>
            <w:tcBorders>
              <w:top w:val="single" w:sz="4" w:space="0" w:color="auto"/>
              <w:bottom w:val="single" w:sz="4" w:space="0" w:color="auto"/>
            </w:tcBorders>
            <w:tcMar>
              <w:top w:w="85" w:type="dxa"/>
              <w:bottom w:w="85" w:type="dxa"/>
            </w:tcMar>
          </w:tcPr>
          <w:p w:rsidR="00993467" w:rsidRPr="0055765D" w:rsidRDefault="00993467" w:rsidP="004E54A8">
            <w:pPr>
              <w:jc w:val="center"/>
              <w:rPr>
                <w:rFonts w:ascii="Verdana" w:hAnsi="Verdana" w:cs="Tahoma"/>
                <w:sz w:val="16"/>
                <w:szCs w:val="16"/>
              </w:rPr>
            </w:pPr>
            <w:r>
              <w:rPr>
                <w:rFonts w:ascii="Verdana" w:hAnsi="Verdana"/>
                <w:sz w:val="16"/>
              </w:rPr>
              <w:t>2</w:t>
            </w:r>
          </w:p>
        </w:tc>
        <w:tc>
          <w:tcPr>
            <w:tcW w:w="2268" w:type="dxa"/>
            <w:tcBorders>
              <w:top w:val="single" w:sz="4" w:space="0" w:color="auto"/>
              <w:bottom w:val="single" w:sz="4" w:space="0" w:color="auto"/>
            </w:tcBorders>
            <w:tcMar>
              <w:top w:w="85" w:type="dxa"/>
              <w:bottom w:w="85" w:type="dxa"/>
            </w:tcMar>
          </w:tcPr>
          <w:p w:rsidR="00993467" w:rsidRPr="0055765D" w:rsidRDefault="00993467" w:rsidP="00916B7E">
            <w:pPr>
              <w:rPr>
                <w:rFonts w:ascii="Verdana" w:hAnsi="Verdana" w:cs="Tahoma"/>
                <w:sz w:val="16"/>
                <w:szCs w:val="16"/>
              </w:rPr>
            </w:pPr>
            <w:r>
              <w:rPr>
                <w:rFonts w:ascii="Verdana" w:hAnsi="Verdana"/>
                <w:sz w:val="16"/>
              </w:rPr>
              <w:t>V životnom prostredí môžu byť prítomné niektoré zo zakázaných pesticídov. Pravdepodobnosť ich výskytu v surovom sójovom oleji je však veľmi nízka. Pri pestovaní sóje je povolené použitie endosulfánu. Z údajov z monitorovania vyplýva, že surový olej spĺňa zákonné limity tohto rezídua.</w:t>
            </w:r>
          </w:p>
        </w:tc>
        <w:tc>
          <w:tcPr>
            <w:tcW w:w="1985" w:type="dxa"/>
            <w:tcBorders>
              <w:top w:val="single" w:sz="4" w:space="0" w:color="auto"/>
              <w:bottom w:val="single" w:sz="4" w:space="0" w:color="auto"/>
            </w:tcBorders>
            <w:tcMar>
              <w:top w:w="85" w:type="dxa"/>
              <w:bottom w:w="85" w:type="dxa"/>
            </w:tcMar>
          </w:tcPr>
          <w:p w:rsidR="00993467" w:rsidRPr="0055765D" w:rsidRDefault="00993467" w:rsidP="004E54A8">
            <w:pPr>
              <w:rPr>
                <w:rFonts w:ascii="Verdana" w:hAnsi="Verdana" w:cs="Tahoma"/>
                <w:sz w:val="16"/>
                <w:szCs w:val="16"/>
              </w:rPr>
            </w:pPr>
            <w:r>
              <w:rPr>
                <w:rFonts w:ascii="Verdana" w:hAnsi="Verdana"/>
                <w:sz w:val="16"/>
              </w:rPr>
              <w:t>Limity radu rezíduí pesticídov v krmivách sa stanovujú v smernici 2002/32/ES.</w:t>
            </w:r>
          </w:p>
        </w:tc>
        <w:tc>
          <w:tcPr>
            <w:tcW w:w="2551"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i/>
                <w:iCs/>
                <w:color w:val="0000FF"/>
                <w:sz w:val="16"/>
                <w:szCs w:val="16"/>
              </w:rPr>
            </w:pPr>
            <w:r>
              <w:rPr>
                <w:rFonts w:ascii="Verdana" w:hAnsi="Verdana"/>
                <w:sz w:val="16"/>
              </w:rPr>
              <w:t>Plán monitorovania</w:t>
            </w:r>
          </w:p>
        </w:tc>
        <w:tc>
          <w:tcPr>
            <w:tcW w:w="2127" w:type="dxa"/>
            <w:tcBorders>
              <w:top w:val="single" w:sz="4" w:space="0" w:color="auto"/>
              <w:bottom w:val="single" w:sz="4" w:space="0" w:color="auto"/>
            </w:tcBorders>
            <w:tcMar>
              <w:top w:w="85" w:type="dxa"/>
              <w:bottom w:w="85" w:type="dxa"/>
            </w:tcMar>
          </w:tcPr>
          <w:p w:rsidR="00993467" w:rsidRPr="0055765D" w:rsidRDefault="00587768" w:rsidP="004E54A8">
            <w:pPr>
              <w:widowControl w:val="0"/>
              <w:rPr>
                <w:rFonts w:ascii="Verdana" w:hAnsi="Verdana" w:cs="Tahoma"/>
                <w:sz w:val="16"/>
                <w:szCs w:val="16"/>
              </w:rPr>
            </w:pPr>
            <w:r>
              <w:rPr>
                <w:rFonts w:ascii="Verdana" w:hAnsi="Verdana"/>
                <w:sz w:val="16"/>
              </w:rPr>
              <w:t>Väčšina pesticídov nie je rozpustná vo vode a neprenesie sa do fázy glycerínovej vody.</w:t>
            </w:r>
          </w:p>
        </w:tc>
      </w:tr>
      <w:tr w:rsidR="00993467" w:rsidRPr="00233E3A" w:rsidTr="00993467">
        <w:trPr>
          <w:trHeight w:val="1301"/>
        </w:trPr>
        <w:tc>
          <w:tcPr>
            <w:tcW w:w="1885"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b/>
                <w:bCs/>
                <w:sz w:val="16"/>
                <w:szCs w:val="16"/>
              </w:rPr>
            </w:pPr>
            <w:r>
              <w:rPr>
                <w:rFonts w:ascii="Verdana" w:hAnsi="Verdana"/>
                <w:b/>
                <w:sz w:val="16"/>
              </w:rPr>
              <w:t>Mikrobiologická kontaminácia</w:t>
            </w:r>
          </w:p>
        </w:tc>
        <w:tc>
          <w:tcPr>
            <w:tcW w:w="646" w:type="dxa"/>
            <w:tcBorders>
              <w:top w:val="single" w:sz="4" w:space="0" w:color="auto"/>
              <w:bottom w:val="single" w:sz="4" w:space="0" w:color="auto"/>
            </w:tcBorders>
            <w:tcMar>
              <w:top w:w="85" w:type="dxa"/>
              <w:bottom w:w="85" w:type="dxa"/>
            </w:tcMar>
          </w:tcPr>
          <w:p w:rsidR="00993467" w:rsidRPr="0055765D" w:rsidRDefault="00993467" w:rsidP="004E54A8">
            <w:pPr>
              <w:jc w:val="center"/>
              <w:rPr>
                <w:rFonts w:ascii="Verdana" w:hAnsi="Verdana" w:cs="Tahoma"/>
                <w:sz w:val="16"/>
                <w:szCs w:val="16"/>
              </w:rPr>
            </w:pPr>
          </w:p>
        </w:tc>
        <w:tc>
          <w:tcPr>
            <w:tcW w:w="979" w:type="dxa"/>
            <w:tcBorders>
              <w:top w:val="single" w:sz="4" w:space="0" w:color="auto"/>
              <w:bottom w:val="single" w:sz="4" w:space="0" w:color="auto"/>
            </w:tcBorders>
            <w:tcMar>
              <w:top w:w="85" w:type="dxa"/>
              <w:bottom w:w="85" w:type="dxa"/>
            </w:tcMar>
          </w:tcPr>
          <w:p w:rsidR="00993467" w:rsidRPr="0055765D" w:rsidRDefault="00993467" w:rsidP="004E54A8">
            <w:pPr>
              <w:jc w:val="center"/>
              <w:rPr>
                <w:rFonts w:ascii="Verdana" w:hAnsi="Verdana" w:cs="Tahoma"/>
                <w:sz w:val="16"/>
                <w:szCs w:val="16"/>
              </w:rPr>
            </w:pPr>
            <w:r>
              <w:rPr>
                <w:rFonts w:ascii="Verdana" w:hAnsi="Verdana"/>
                <w:sz w:val="16"/>
              </w:rPr>
              <w:t>Nízka</w:t>
            </w:r>
          </w:p>
        </w:tc>
        <w:tc>
          <w:tcPr>
            <w:tcW w:w="1418" w:type="dxa"/>
            <w:tcBorders>
              <w:top w:val="single" w:sz="4" w:space="0" w:color="auto"/>
              <w:bottom w:val="single" w:sz="4" w:space="0" w:color="auto"/>
            </w:tcBorders>
            <w:tcMar>
              <w:top w:w="85" w:type="dxa"/>
              <w:bottom w:w="85" w:type="dxa"/>
            </w:tcMar>
          </w:tcPr>
          <w:p w:rsidR="00993467" w:rsidRPr="0055765D" w:rsidRDefault="00993467" w:rsidP="004E54A8">
            <w:pPr>
              <w:jc w:val="center"/>
              <w:rPr>
                <w:rFonts w:ascii="Verdana" w:hAnsi="Verdana" w:cs="Tahoma"/>
                <w:sz w:val="16"/>
                <w:szCs w:val="16"/>
              </w:rPr>
            </w:pPr>
            <w:r>
              <w:rPr>
                <w:rFonts w:ascii="Verdana" w:hAnsi="Verdana"/>
                <w:sz w:val="16"/>
              </w:rPr>
              <w:t>Stredná</w:t>
            </w:r>
          </w:p>
        </w:tc>
        <w:tc>
          <w:tcPr>
            <w:tcW w:w="850" w:type="dxa"/>
            <w:tcBorders>
              <w:top w:val="single" w:sz="4" w:space="0" w:color="auto"/>
              <w:bottom w:val="single" w:sz="4" w:space="0" w:color="auto"/>
            </w:tcBorders>
            <w:tcMar>
              <w:top w:w="85" w:type="dxa"/>
              <w:bottom w:w="85" w:type="dxa"/>
            </w:tcMar>
          </w:tcPr>
          <w:p w:rsidR="00993467" w:rsidRPr="0055765D" w:rsidRDefault="00993467" w:rsidP="004E54A8">
            <w:pPr>
              <w:jc w:val="center"/>
              <w:rPr>
                <w:rFonts w:ascii="Verdana" w:hAnsi="Verdana" w:cs="Tahoma"/>
                <w:sz w:val="16"/>
                <w:szCs w:val="16"/>
              </w:rPr>
            </w:pPr>
            <w:r>
              <w:rPr>
                <w:rFonts w:ascii="Verdana" w:hAnsi="Verdana"/>
                <w:sz w:val="16"/>
              </w:rPr>
              <w:t>2</w:t>
            </w:r>
          </w:p>
        </w:tc>
        <w:tc>
          <w:tcPr>
            <w:tcW w:w="2268" w:type="dxa"/>
            <w:tcBorders>
              <w:top w:val="single" w:sz="4" w:space="0" w:color="auto"/>
              <w:bottom w:val="single" w:sz="4" w:space="0" w:color="auto"/>
            </w:tcBorders>
            <w:tcMar>
              <w:top w:w="85" w:type="dxa"/>
              <w:bottom w:w="85" w:type="dxa"/>
            </w:tcMar>
          </w:tcPr>
          <w:p w:rsidR="00993467" w:rsidRPr="0055765D" w:rsidRDefault="00993467" w:rsidP="004E54A8">
            <w:pPr>
              <w:rPr>
                <w:rFonts w:ascii="Verdana" w:hAnsi="Verdana" w:cs="Tahoma"/>
                <w:sz w:val="16"/>
                <w:szCs w:val="16"/>
              </w:rPr>
            </w:pPr>
          </w:p>
        </w:tc>
        <w:tc>
          <w:tcPr>
            <w:tcW w:w="1985" w:type="dxa"/>
            <w:tcBorders>
              <w:top w:val="single" w:sz="4" w:space="0" w:color="auto"/>
              <w:bottom w:val="single" w:sz="4" w:space="0" w:color="auto"/>
            </w:tcBorders>
            <w:tcMar>
              <w:top w:w="85" w:type="dxa"/>
              <w:bottom w:w="85" w:type="dxa"/>
            </w:tcMar>
          </w:tcPr>
          <w:p w:rsidR="00993467" w:rsidRPr="0055765D" w:rsidRDefault="00993467" w:rsidP="004E54A8">
            <w:pPr>
              <w:rPr>
                <w:rFonts w:ascii="Verdana" w:hAnsi="Verdana" w:cs="Tahoma"/>
                <w:sz w:val="16"/>
                <w:szCs w:val="16"/>
              </w:rPr>
            </w:pPr>
          </w:p>
        </w:tc>
        <w:tc>
          <w:tcPr>
            <w:tcW w:w="2551"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i/>
                <w:iCs/>
                <w:color w:val="0000FF"/>
                <w:sz w:val="16"/>
                <w:szCs w:val="16"/>
              </w:rPr>
            </w:pPr>
            <w:r>
              <w:rPr>
                <w:rFonts w:ascii="Verdana" w:hAnsi="Verdana"/>
                <w:sz w:val="16"/>
              </w:rPr>
              <w:t>Plán monitorovania</w:t>
            </w:r>
          </w:p>
        </w:tc>
        <w:tc>
          <w:tcPr>
            <w:tcW w:w="2127" w:type="dxa"/>
            <w:tcBorders>
              <w:top w:val="single" w:sz="4" w:space="0" w:color="auto"/>
              <w:bottom w:val="single" w:sz="4" w:space="0" w:color="auto"/>
            </w:tcBorders>
            <w:tcMar>
              <w:top w:w="85" w:type="dxa"/>
              <w:bottom w:w="85" w:type="dxa"/>
            </w:tcMar>
          </w:tcPr>
          <w:p w:rsidR="00993467" w:rsidRPr="0055765D" w:rsidRDefault="00993467" w:rsidP="004E54A8">
            <w:pPr>
              <w:widowControl w:val="0"/>
              <w:rPr>
                <w:rFonts w:ascii="Verdana" w:hAnsi="Verdana" w:cs="Tahoma"/>
                <w:sz w:val="16"/>
                <w:szCs w:val="16"/>
              </w:rPr>
            </w:pPr>
          </w:p>
        </w:tc>
      </w:tr>
    </w:tbl>
    <w:p w:rsidR="00850EB4" w:rsidRPr="00A8208F" w:rsidRDefault="00850EB4" w:rsidP="007B5B25">
      <w:pPr>
        <w:rPr>
          <w:rFonts w:ascii="Verdana" w:hAnsi="Verdana" w:cs="Tahoma"/>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648"/>
        <w:gridCol w:w="831"/>
        <w:gridCol w:w="1329"/>
        <w:gridCol w:w="939"/>
        <w:gridCol w:w="2835"/>
        <w:gridCol w:w="1559"/>
        <w:gridCol w:w="2551"/>
        <w:gridCol w:w="2127"/>
      </w:tblGrid>
      <w:tr w:rsidR="00C724B8" w:rsidRPr="00A8208F" w:rsidTr="00B86C6B">
        <w:trPr>
          <w:trHeight w:val="429"/>
        </w:trPr>
        <w:tc>
          <w:tcPr>
            <w:tcW w:w="4698" w:type="dxa"/>
            <w:gridSpan w:val="4"/>
            <w:tcBorders>
              <w:bottom w:val="single" w:sz="4" w:space="0" w:color="auto"/>
            </w:tcBorders>
            <w:shd w:val="clear" w:color="auto" w:fill="0DA72A"/>
            <w:tcMar>
              <w:top w:w="57" w:type="dxa"/>
              <w:bottom w:w="57" w:type="dxa"/>
            </w:tcMar>
            <w:vAlign w:val="center"/>
          </w:tcPr>
          <w:p w:rsidR="00C724B8" w:rsidRPr="00C724B8" w:rsidRDefault="00E80F73" w:rsidP="00C724B8">
            <w:pPr>
              <w:widowControl w:val="0"/>
              <w:spacing w:before="20" w:after="20"/>
              <w:ind w:left="85" w:right="85"/>
              <w:rPr>
                <w:rFonts w:ascii="Verdana" w:hAnsi="Verdana"/>
                <w:b/>
                <w:color w:val="FFFFFF"/>
                <w:sz w:val="32"/>
                <w:szCs w:val="32"/>
              </w:rPr>
            </w:pPr>
            <w:r>
              <w:rPr>
                <w:rFonts w:ascii="Verdana" w:hAnsi="Verdana"/>
                <w:b/>
                <w:color w:val="FFFFFF"/>
                <w:sz w:val="32"/>
              </w:rPr>
              <w:t>8. Prístup založený na rizikách, pokiaľ ide o glycerín</w:t>
            </w:r>
          </w:p>
          <w:p w:rsidR="00C724B8" w:rsidRPr="00A8208F" w:rsidRDefault="00C724B8" w:rsidP="004E54A8">
            <w:pPr>
              <w:widowControl w:val="0"/>
              <w:spacing w:before="20" w:after="20"/>
              <w:jc w:val="right"/>
              <w:rPr>
                <w:rFonts w:ascii="Verdana" w:hAnsi="Verdana" w:cs="Tahoma"/>
                <w:b/>
                <w:bCs/>
                <w:color w:val="FFFFFF"/>
                <w:sz w:val="28"/>
                <w:szCs w:val="28"/>
              </w:rPr>
            </w:pPr>
          </w:p>
        </w:tc>
        <w:tc>
          <w:tcPr>
            <w:tcW w:w="10011" w:type="dxa"/>
            <w:gridSpan w:val="5"/>
            <w:tcBorders>
              <w:left w:val="nil"/>
              <w:bottom w:val="single" w:sz="4" w:space="0" w:color="auto"/>
            </w:tcBorders>
            <w:shd w:val="clear" w:color="auto" w:fill="0DA72A"/>
            <w:tcMar>
              <w:top w:w="57" w:type="dxa"/>
              <w:bottom w:w="57" w:type="dxa"/>
            </w:tcMar>
            <w:vAlign w:val="center"/>
          </w:tcPr>
          <w:p w:rsidR="00C724B8" w:rsidRPr="00A8208F" w:rsidRDefault="00C724B8" w:rsidP="004E54A8">
            <w:pPr>
              <w:widowControl w:val="0"/>
              <w:rPr>
                <w:rFonts w:ascii="Verdana" w:hAnsi="Verdana" w:cs="Tahoma"/>
                <w:b/>
                <w:color w:val="FFFFFF"/>
                <w:sz w:val="28"/>
                <w:szCs w:val="28"/>
              </w:rPr>
            </w:pPr>
            <w:r>
              <w:rPr>
                <w:rFonts w:ascii="Verdana" w:hAnsi="Verdana"/>
                <w:b/>
                <w:color w:val="FFFFFF"/>
                <w:sz w:val="28"/>
              </w:rPr>
              <w:t>3. Skladovanie vstupných materiálov</w:t>
            </w:r>
          </w:p>
        </w:tc>
      </w:tr>
      <w:tr w:rsidR="00993467" w:rsidRPr="00A8208F" w:rsidTr="003E010C">
        <w:trPr>
          <w:trHeight w:val="536"/>
        </w:trPr>
        <w:tc>
          <w:tcPr>
            <w:tcW w:w="1890" w:type="dxa"/>
            <w:tcBorders>
              <w:bottom w:val="single" w:sz="4" w:space="0" w:color="auto"/>
            </w:tcBorders>
            <w:shd w:val="clear" w:color="auto" w:fill="0DA72A"/>
            <w:tcMar>
              <w:top w:w="28" w:type="dxa"/>
              <w:bottom w:w="28" w:type="dxa"/>
            </w:tcMar>
            <w:vAlign w:val="center"/>
          </w:tcPr>
          <w:p w:rsidR="00993467" w:rsidRPr="00A8208F" w:rsidRDefault="00993467" w:rsidP="004E54A8">
            <w:pPr>
              <w:widowControl w:val="0"/>
              <w:spacing w:before="20" w:after="20"/>
              <w:rPr>
                <w:rFonts w:ascii="Verdana" w:hAnsi="Verdana" w:cs="Tahoma"/>
                <w:b/>
                <w:bCs/>
                <w:color w:val="FFFFFF"/>
                <w:sz w:val="14"/>
                <w:szCs w:val="14"/>
              </w:rPr>
            </w:pPr>
            <w:r>
              <w:rPr>
                <w:rFonts w:ascii="Verdana" w:hAnsi="Verdana"/>
                <w:b/>
                <w:color w:val="FFFFFF"/>
                <w:sz w:val="14"/>
              </w:rPr>
              <w:lastRenderedPageBreak/>
              <w:t xml:space="preserve">NEBEZPEČENSTVO </w:t>
            </w:r>
          </w:p>
        </w:tc>
        <w:tc>
          <w:tcPr>
            <w:tcW w:w="648" w:type="dxa"/>
            <w:tcBorders>
              <w:bottom w:val="single" w:sz="4" w:space="0" w:color="auto"/>
            </w:tcBorders>
            <w:shd w:val="clear" w:color="auto" w:fill="0DA72A"/>
            <w:tcMar>
              <w:top w:w="28" w:type="dxa"/>
              <w:bottom w:w="28" w:type="dxa"/>
            </w:tcMar>
            <w:vAlign w:val="center"/>
          </w:tcPr>
          <w:p w:rsidR="00993467" w:rsidRPr="00A8208F"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KATEGÓRIA </w:t>
            </w:r>
          </w:p>
        </w:tc>
        <w:tc>
          <w:tcPr>
            <w:tcW w:w="831" w:type="dxa"/>
            <w:tcBorders>
              <w:bottom w:val="single" w:sz="4" w:space="0" w:color="auto"/>
            </w:tcBorders>
            <w:shd w:val="clear" w:color="auto" w:fill="0DA72A"/>
            <w:tcMar>
              <w:top w:w="28" w:type="dxa"/>
              <w:bottom w:w="28" w:type="dxa"/>
            </w:tcMar>
            <w:vAlign w:val="center"/>
          </w:tcPr>
          <w:p w:rsidR="00993467" w:rsidRPr="00A8208F"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PRAVDEPODOBNOSŤ </w:t>
            </w:r>
          </w:p>
        </w:tc>
        <w:tc>
          <w:tcPr>
            <w:tcW w:w="1329" w:type="dxa"/>
            <w:tcBorders>
              <w:bottom w:val="single" w:sz="4" w:space="0" w:color="auto"/>
            </w:tcBorders>
            <w:shd w:val="clear" w:color="auto" w:fill="0DA72A"/>
            <w:tcMar>
              <w:top w:w="28" w:type="dxa"/>
              <w:bottom w:w="28" w:type="dxa"/>
            </w:tcMar>
            <w:vAlign w:val="center"/>
          </w:tcPr>
          <w:p w:rsidR="00993467" w:rsidRPr="00A8208F"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ZÁVAŽNOSŤ </w:t>
            </w:r>
          </w:p>
        </w:tc>
        <w:tc>
          <w:tcPr>
            <w:tcW w:w="939" w:type="dxa"/>
            <w:tcBorders>
              <w:bottom w:val="single" w:sz="4" w:space="0" w:color="auto"/>
            </w:tcBorders>
            <w:shd w:val="clear" w:color="auto" w:fill="0DA72A"/>
            <w:tcMar>
              <w:top w:w="28" w:type="dxa"/>
              <w:bottom w:w="28" w:type="dxa"/>
            </w:tcMar>
            <w:vAlign w:val="center"/>
          </w:tcPr>
          <w:p w:rsidR="00993467" w:rsidRPr="00A8208F"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TRIEDA RIZIKA </w:t>
            </w:r>
          </w:p>
        </w:tc>
        <w:tc>
          <w:tcPr>
            <w:tcW w:w="2835" w:type="dxa"/>
            <w:tcBorders>
              <w:bottom w:val="single" w:sz="4" w:space="0" w:color="auto"/>
            </w:tcBorders>
            <w:shd w:val="clear" w:color="auto" w:fill="0DA72A"/>
            <w:tcMar>
              <w:top w:w="28" w:type="dxa"/>
              <w:bottom w:w="28" w:type="dxa"/>
            </w:tcMar>
            <w:vAlign w:val="center"/>
          </w:tcPr>
          <w:p w:rsidR="00993467" w:rsidRPr="00A8208F"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ZDÔVODNENIE</w:t>
            </w:r>
          </w:p>
        </w:tc>
        <w:tc>
          <w:tcPr>
            <w:tcW w:w="1559" w:type="dxa"/>
            <w:tcBorders>
              <w:bottom w:val="single" w:sz="4" w:space="0" w:color="auto"/>
            </w:tcBorders>
            <w:shd w:val="clear" w:color="auto" w:fill="0DA72A"/>
            <w:tcMar>
              <w:top w:w="28" w:type="dxa"/>
              <w:bottom w:w="28" w:type="dxa"/>
            </w:tcMar>
            <w:vAlign w:val="center"/>
          </w:tcPr>
          <w:p w:rsidR="00993467" w:rsidRPr="00A8208F" w:rsidRDefault="00993467" w:rsidP="00A8208F">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PRÁVNE PREDPISY, ODVETVOVÉ NORMY </w:t>
            </w:r>
          </w:p>
        </w:tc>
        <w:tc>
          <w:tcPr>
            <w:tcW w:w="2551" w:type="dxa"/>
            <w:tcBorders>
              <w:bottom w:val="single" w:sz="4" w:space="0" w:color="auto"/>
            </w:tcBorders>
            <w:shd w:val="clear" w:color="auto" w:fill="0DA72A"/>
            <w:tcMar>
              <w:top w:w="28" w:type="dxa"/>
              <w:bottom w:w="28" w:type="dxa"/>
            </w:tcMar>
            <w:vAlign w:val="center"/>
          </w:tcPr>
          <w:p w:rsidR="00993467" w:rsidRPr="00A8208F" w:rsidRDefault="00993467"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KONTROLNÉ OPATRENIE  </w:t>
            </w:r>
          </w:p>
        </w:tc>
        <w:tc>
          <w:tcPr>
            <w:tcW w:w="2127" w:type="dxa"/>
            <w:tcBorders>
              <w:bottom w:val="single" w:sz="4" w:space="0" w:color="auto"/>
            </w:tcBorders>
            <w:shd w:val="clear" w:color="auto" w:fill="0DA72A"/>
            <w:tcMar>
              <w:top w:w="28" w:type="dxa"/>
              <w:bottom w:w="28" w:type="dxa"/>
            </w:tcMar>
            <w:vAlign w:val="center"/>
          </w:tcPr>
          <w:p w:rsidR="00993467" w:rsidRPr="00A8208F" w:rsidRDefault="00993467" w:rsidP="004E54A8">
            <w:pPr>
              <w:widowControl w:val="0"/>
              <w:spacing w:before="20" w:after="20"/>
              <w:jc w:val="center"/>
              <w:rPr>
                <w:rFonts w:ascii="Verdana" w:hAnsi="Verdana" w:cs="Tahoma"/>
                <w:color w:val="FFFFFF"/>
                <w:sz w:val="14"/>
                <w:szCs w:val="14"/>
              </w:rPr>
            </w:pPr>
            <w:r>
              <w:rPr>
                <w:rFonts w:ascii="Verdana" w:hAnsi="Verdana"/>
                <w:b/>
                <w:color w:val="FFFFFF"/>
                <w:sz w:val="14"/>
              </w:rPr>
              <w:t xml:space="preserve">POZNÁMKY </w:t>
            </w:r>
          </w:p>
        </w:tc>
      </w:tr>
      <w:tr w:rsidR="00993467" w:rsidRPr="00A8208F" w:rsidTr="003E010C">
        <w:trPr>
          <w:trHeight w:val="1701"/>
        </w:trPr>
        <w:tc>
          <w:tcPr>
            <w:tcW w:w="1890" w:type="dxa"/>
            <w:tcMar>
              <w:top w:w="85" w:type="dxa"/>
              <w:bottom w:w="85" w:type="dxa"/>
            </w:tcMar>
          </w:tcPr>
          <w:p w:rsidR="00993467" w:rsidRPr="0055765D" w:rsidRDefault="00993467" w:rsidP="004E54A8">
            <w:pPr>
              <w:widowControl w:val="0"/>
              <w:rPr>
                <w:rFonts w:ascii="Verdana" w:hAnsi="Verdana" w:cs="Tahoma"/>
                <w:b/>
                <w:bCs/>
                <w:sz w:val="16"/>
                <w:szCs w:val="16"/>
              </w:rPr>
            </w:pPr>
            <w:r>
              <w:rPr>
                <w:rFonts w:ascii="Verdana" w:hAnsi="Verdana"/>
                <w:b/>
                <w:sz w:val="16"/>
              </w:rPr>
              <w:t>Kontaminácia čistiacimi prostriedkami</w:t>
            </w:r>
          </w:p>
        </w:tc>
        <w:tc>
          <w:tcPr>
            <w:tcW w:w="648" w:type="dxa"/>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CH</w:t>
            </w:r>
          </w:p>
        </w:tc>
        <w:tc>
          <w:tcPr>
            <w:tcW w:w="831" w:type="dxa"/>
            <w:tcMar>
              <w:top w:w="85" w:type="dxa"/>
              <w:bottom w:w="85" w:type="dxa"/>
            </w:tcMar>
          </w:tcPr>
          <w:p w:rsidR="00993467" w:rsidRPr="0055765D" w:rsidRDefault="00FF185B" w:rsidP="004E54A8">
            <w:pPr>
              <w:widowControl w:val="0"/>
              <w:jc w:val="center"/>
              <w:rPr>
                <w:rFonts w:ascii="Verdana" w:hAnsi="Verdana" w:cs="Tahoma"/>
                <w:sz w:val="16"/>
                <w:szCs w:val="16"/>
              </w:rPr>
            </w:pPr>
            <w:r>
              <w:rPr>
                <w:rFonts w:ascii="Verdana" w:hAnsi="Verdana"/>
                <w:sz w:val="16"/>
              </w:rPr>
              <w:t>Nízka</w:t>
            </w:r>
          </w:p>
        </w:tc>
        <w:tc>
          <w:tcPr>
            <w:tcW w:w="1329" w:type="dxa"/>
            <w:tcMar>
              <w:top w:w="85" w:type="dxa"/>
              <w:bottom w:w="85" w:type="dxa"/>
            </w:tcMar>
          </w:tcPr>
          <w:p w:rsidR="00993467" w:rsidRPr="0055765D" w:rsidRDefault="00993467" w:rsidP="00FF185B">
            <w:pPr>
              <w:widowControl w:val="0"/>
              <w:jc w:val="center"/>
              <w:rPr>
                <w:rFonts w:ascii="Verdana" w:hAnsi="Verdana" w:cs="Tahoma"/>
                <w:sz w:val="16"/>
                <w:szCs w:val="16"/>
              </w:rPr>
            </w:pPr>
            <w:r>
              <w:rPr>
                <w:rFonts w:ascii="Verdana" w:hAnsi="Verdana"/>
                <w:sz w:val="16"/>
              </w:rPr>
              <w:t xml:space="preserve"> Stredná</w:t>
            </w:r>
          </w:p>
        </w:tc>
        <w:tc>
          <w:tcPr>
            <w:tcW w:w="939" w:type="dxa"/>
            <w:tcMar>
              <w:top w:w="85" w:type="dxa"/>
              <w:bottom w:w="85" w:type="dxa"/>
            </w:tcMar>
          </w:tcPr>
          <w:p w:rsidR="00993467" w:rsidRPr="0055765D" w:rsidRDefault="00993467" w:rsidP="00CE6A2B">
            <w:pPr>
              <w:widowControl w:val="0"/>
              <w:jc w:val="center"/>
              <w:rPr>
                <w:rFonts w:ascii="Verdana" w:hAnsi="Verdana" w:cs="Tahoma"/>
                <w:sz w:val="16"/>
                <w:szCs w:val="16"/>
              </w:rPr>
            </w:pPr>
            <w:r>
              <w:rPr>
                <w:rFonts w:ascii="Verdana" w:hAnsi="Verdana"/>
                <w:sz w:val="16"/>
              </w:rPr>
              <w:t xml:space="preserve"> 3</w:t>
            </w:r>
          </w:p>
        </w:tc>
        <w:tc>
          <w:tcPr>
            <w:tcW w:w="2835" w:type="dxa"/>
            <w:tcMar>
              <w:top w:w="85" w:type="dxa"/>
              <w:bottom w:w="85" w:type="dxa"/>
            </w:tcMar>
          </w:tcPr>
          <w:p w:rsidR="00993467" w:rsidRPr="0055765D" w:rsidRDefault="00993467" w:rsidP="00CB6F5D">
            <w:pPr>
              <w:widowControl w:val="0"/>
              <w:rPr>
                <w:rFonts w:ascii="Verdana" w:hAnsi="Verdana" w:cs="Tahoma"/>
                <w:sz w:val="16"/>
                <w:szCs w:val="16"/>
              </w:rPr>
            </w:pPr>
            <w:r>
              <w:rPr>
                <w:rFonts w:ascii="Verdana" w:hAnsi="Verdana"/>
                <w:sz w:val="16"/>
              </w:rPr>
              <w:t>Toto zatriedenie rizika sa vzťahuje na terminály, v ktorých sa skladujú chemické látky aj rastlinné oleje. Existuje pravdepodobnosť, že prevádzkovatelia nepoužívajú čistiace prostriedky, ktoré sú vhodné na použitie v potravinárskom priemysle. V termináloch s cisternami v EÚ, ktoré uplatňujú HACCP a ktoré skladujú rastlinné oleje a chemické látky oddelene, je pravdepodobnosť použitia nesprávnych čistiacich prostriedkov veľmi nízka.</w:t>
            </w:r>
          </w:p>
        </w:tc>
        <w:tc>
          <w:tcPr>
            <w:tcW w:w="1559" w:type="dxa"/>
            <w:tcMar>
              <w:top w:w="85" w:type="dxa"/>
              <w:bottom w:w="85" w:type="dxa"/>
            </w:tcMar>
          </w:tcPr>
          <w:p w:rsidR="00993467" w:rsidRPr="0055765D" w:rsidRDefault="00993467" w:rsidP="004E54A8">
            <w:pPr>
              <w:widowControl w:val="0"/>
              <w:rPr>
                <w:rFonts w:ascii="Verdana" w:hAnsi="Verdana" w:cs="Tahoma"/>
                <w:sz w:val="16"/>
                <w:szCs w:val="16"/>
              </w:rPr>
            </w:pPr>
          </w:p>
        </w:tc>
        <w:tc>
          <w:tcPr>
            <w:tcW w:w="2551" w:type="dxa"/>
            <w:tcMar>
              <w:top w:w="85" w:type="dxa"/>
              <w:bottom w:w="85" w:type="dxa"/>
            </w:tcMar>
          </w:tcPr>
          <w:p w:rsidR="00480496" w:rsidRPr="0055765D" w:rsidRDefault="00480496" w:rsidP="004E54A8">
            <w:pPr>
              <w:widowControl w:val="0"/>
              <w:rPr>
                <w:rFonts w:ascii="Verdana" w:hAnsi="Verdana" w:cs="Tahoma"/>
                <w:sz w:val="16"/>
                <w:szCs w:val="16"/>
              </w:rPr>
            </w:pPr>
            <w:r>
              <w:rPr>
                <w:rFonts w:ascii="Verdana" w:hAnsi="Verdana"/>
                <w:sz w:val="16"/>
              </w:rPr>
              <w:t>Na zníženie rizika na prijateľnú úroveň sa musia vyhodnotiť použité čistiace prostriedky a prijať vhodné opatrenia.</w:t>
            </w:r>
          </w:p>
        </w:tc>
        <w:tc>
          <w:tcPr>
            <w:tcW w:w="2127" w:type="dxa"/>
            <w:tcMar>
              <w:top w:w="85" w:type="dxa"/>
              <w:bottom w:w="85" w:type="dxa"/>
            </w:tcMar>
          </w:tcPr>
          <w:p w:rsidR="00993467" w:rsidRPr="0055765D" w:rsidRDefault="00993467" w:rsidP="004E54A8">
            <w:pPr>
              <w:widowControl w:val="0"/>
              <w:rPr>
                <w:rFonts w:ascii="Verdana" w:hAnsi="Verdana" w:cs="Tahoma"/>
                <w:sz w:val="16"/>
                <w:szCs w:val="16"/>
              </w:rPr>
            </w:pPr>
          </w:p>
        </w:tc>
      </w:tr>
      <w:tr w:rsidR="00993467" w:rsidRPr="00A8208F" w:rsidTr="003E010C">
        <w:trPr>
          <w:trHeight w:val="935"/>
        </w:trPr>
        <w:tc>
          <w:tcPr>
            <w:tcW w:w="1890" w:type="dxa"/>
            <w:tcMar>
              <w:top w:w="85" w:type="dxa"/>
              <w:bottom w:w="85" w:type="dxa"/>
            </w:tcMar>
          </w:tcPr>
          <w:p w:rsidR="00993467" w:rsidRPr="0055765D" w:rsidRDefault="00993467" w:rsidP="004E54A8">
            <w:pPr>
              <w:widowControl w:val="0"/>
              <w:rPr>
                <w:rFonts w:ascii="Verdana" w:hAnsi="Verdana" w:cs="Tahoma"/>
                <w:b/>
                <w:bCs/>
                <w:sz w:val="16"/>
                <w:szCs w:val="16"/>
              </w:rPr>
            </w:pPr>
            <w:r>
              <w:rPr>
                <w:rFonts w:ascii="Verdana" w:hAnsi="Verdana"/>
                <w:b/>
                <w:sz w:val="16"/>
              </w:rPr>
              <w:t>Tepelné vykurovacie kvapaliny v prípade zlyhania zariadenia</w:t>
            </w:r>
          </w:p>
        </w:tc>
        <w:tc>
          <w:tcPr>
            <w:tcW w:w="648" w:type="dxa"/>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CH</w:t>
            </w:r>
          </w:p>
        </w:tc>
        <w:tc>
          <w:tcPr>
            <w:tcW w:w="831" w:type="dxa"/>
            <w:tcMar>
              <w:top w:w="85" w:type="dxa"/>
              <w:bottom w:w="85" w:type="dxa"/>
            </w:tcMar>
          </w:tcPr>
          <w:p w:rsidR="00993467" w:rsidRPr="0055765D" w:rsidRDefault="00FF185B" w:rsidP="004E54A8">
            <w:pPr>
              <w:widowControl w:val="0"/>
              <w:jc w:val="center"/>
              <w:rPr>
                <w:rFonts w:ascii="Verdana" w:hAnsi="Verdana" w:cs="Tahoma"/>
                <w:sz w:val="16"/>
                <w:szCs w:val="16"/>
              </w:rPr>
            </w:pPr>
            <w:r>
              <w:rPr>
                <w:rFonts w:ascii="Verdana" w:hAnsi="Verdana"/>
                <w:sz w:val="16"/>
              </w:rPr>
              <w:t>Nízka</w:t>
            </w:r>
          </w:p>
        </w:tc>
        <w:tc>
          <w:tcPr>
            <w:tcW w:w="1329" w:type="dxa"/>
            <w:tcMar>
              <w:top w:w="85" w:type="dxa"/>
              <w:bottom w:w="85" w:type="dxa"/>
            </w:tcMar>
          </w:tcPr>
          <w:p w:rsidR="00993467" w:rsidRPr="0055765D" w:rsidRDefault="00FF185B" w:rsidP="004E54A8">
            <w:pPr>
              <w:widowControl w:val="0"/>
              <w:jc w:val="center"/>
              <w:rPr>
                <w:rFonts w:ascii="Verdana" w:hAnsi="Verdana" w:cs="Tahoma"/>
                <w:sz w:val="16"/>
                <w:szCs w:val="16"/>
              </w:rPr>
            </w:pPr>
            <w:r>
              <w:rPr>
                <w:rFonts w:ascii="Verdana" w:hAnsi="Verdana"/>
                <w:sz w:val="16"/>
              </w:rPr>
              <w:t>Vysoká</w:t>
            </w:r>
          </w:p>
        </w:tc>
        <w:tc>
          <w:tcPr>
            <w:tcW w:w="939" w:type="dxa"/>
            <w:shd w:val="clear" w:color="auto" w:fill="FFC000"/>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3</w:t>
            </w:r>
          </w:p>
        </w:tc>
        <w:tc>
          <w:tcPr>
            <w:tcW w:w="2835" w:type="dxa"/>
            <w:tcMar>
              <w:top w:w="85" w:type="dxa"/>
              <w:bottom w:w="85" w:type="dxa"/>
            </w:tcMar>
          </w:tcPr>
          <w:p w:rsidR="00993467" w:rsidRPr="0055765D" w:rsidRDefault="00993467" w:rsidP="004E54A8">
            <w:pPr>
              <w:widowControl w:val="0"/>
              <w:rPr>
                <w:rFonts w:ascii="Verdana" w:hAnsi="Verdana" w:cs="Tahoma"/>
                <w:sz w:val="16"/>
                <w:szCs w:val="16"/>
              </w:rPr>
            </w:pPr>
            <w:r>
              <w:rPr>
                <w:rFonts w:ascii="Verdana" w:hAnsi="Verdana"/>
                <w:sz w:val="16"/>
              </w:rPr>
              <w:t>Ešte stále možno používať toxické tepelné vykurovacie kvapaliny. Vzhľadom na relatívne nízke teploty vykurovania počas skladovania je však pravdepodobnosť úniku kvapalín z vykurovacích telies do produktu nízka.</w:t>
            </w:r>
          </w:p>
        </w:tc>
        <w:tc>
          <w:tcPr>
            <w:tcW w:w="1559" w:type="dxa"/>
            <w:tcMar>
              <w:top w:w="85" w:type="dxa"/>
              <w:bottom w:w="85" w:type="dxa"/>
            </w:tcMar>
          </w:tcPr>
          <w:p w:rsidR="00993467" w:rsidRPr="0055765D" w:rsidRDefault="00993467" w:rsidP="004E54A8">
            <w:pPr>
              <w:widowControl w:val="0"/>
              <w:rPr>
                <w:rFonts w:ascii="Verdana" w:hAnsi="Verdana" w:cs="Tahoma"/>
                <w:sz w:val="16"/>
                <w:szCs w:val="16"/>
              </w:rPr>
            </w:pPr>
          </w:p>
        </w:tc>
        <w:tc>
          <w:tcPr>
            <w:tcW w:w="2551" w:type="dxa"/>
            <w:tcMar>
              <w:top w:w="85" w:type="dxa"/>
              <w:bottom w:w="85" w:type="dxa"/>
            </w:tcMar>
          </w:tcPr>
          <w:p w:rsidR="00993467" w:rsidRPr="0055765D" w:rsidRDefault="00993467" w:rsidP="004E54A8">
            <w:pPr>
              <w:widowControl w:val="0"/>
              <w:rPr>
                <w:rFonts w:ascii="Verdana" w:hAnsi="Verdana" w:cs="Tahoma"/>
                <w:sz w:val="16"/>
                <w:szCs w:val="16"/>
              </w:rPr>
            </w:pPr>
            <w:r>
              <w:rPr>
                <w:rFonts w:ascii="Verdana" w:hAnsi="Verdana"/>
                <w:sz w:val="16"/>
              </w:rPr>
              <w:t xml:space="preserve">Dokumentácia o čistých stratách a v prípade potreby príslušná analýza. </w:t>
            </w:r>
          </w:p>
        </w:tc>
        <w:tc>
          <w:tcPr>
            <w:tcW w:w="2127" w:type="dxa"/>
            <w:tcMar>
              <w:top w:w="85" w:type="dxa"/>
              <w:bottom w:w="85" w:type="dxa"/>
            </w:tcMar>
          </w:tcPr>
          <w:p w:rsidR="00993467" w:rsidRPr="0055765D" w:rsidRDefault="00993467" w:rsidP="001E05FE">
            <w:pPr>
              <w:widowControl w:val="0"/>
              <w:rPr>
                <w:rFonts w:ascii="Verdana" w:hAnsi="Verdana" w:cs="Tahoma"/>
                <w:sz w:val="16"/>
                <w:szCs w:val="16"/>
              </w:rPr>
            </w:pPr>
            <w:r>
              <w:rPr>
                <w:rFonts w:ascii="Verdana" w:hAnsi="Verdana"/>
                <w:sz w:val="16"/>
              </w:rPr>
              <w:t>Odporúča sa použiť na ohrev vodu a paru. Tepelné vykurovacie kvapaliny sa bežne nepoužívajú.</w:t>
            </w:r>
          </w:p>
        </w:tc>
      </w:tr>
      <w:tr w:rsidR="00993467" w:rsidRPr="00A8208F" w:rsidTr="003E010C">
        <w:trPr>
          <w:trHeight w:val="935"/>
        </w:trPr>
        <w:tc>
          <w:tcPr>
            <w:tcW w:w="1890" w:type="dxa"/>
            <w:tcMar>
              <w:top w:w="85" w:type="dxa"/>
              <w:bottom w:w="85" w:type="dxa"/>
            </w:tcMar>
          </w:tcPr>
          <w:p w:rsidR="00993467" w:rsidRPr="0055765D" w:rsidRDefault="00993467" w:rsidP="004E54A8">
            <w:pPr>
              <w:widowControl w:val="0"/>
              <w:rPr>
                <w:rFonts w:ascii="Verdana" w:hAnsi="Verdana" w:cs="Tahoma"/>
                <w:b/>
                <w:bCs/>
                <w:sz w:val="16"/>
                <w:szCs w:val="16"/>
              </w:rPr>
            </w:pPr>
            <w:r>
              <w:rPr>
                <w:rFonts w:ascii="Verdana" w:hAnsi="Verdana"/>
                <w:b/>
                <w:sz w:val="16"/>
              </w:rPr>
              <w:t>Krížová kontaminácia</w:t>
            </w:r>
          </w:p>
        </w:tc>
        <w:tc>
          <w:tcPr>
            <w:tcW w:w="648" w:type="dxa"/>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CH</w:t>
            </w:r>
          </w:p>
        </w:tc>
        <w:tc>
          <w:tcPr>
            <w:tcW w:w="831" w:type="dxa"/>
            <w:tcMar>
              <w:top w:w="85" w:type="dxa"/>
              <w:bottom w:w="85" w:type="dxa"/>
            </w:tcMar>
          </w:tcPr>
          <w:p w:rsidR="00993467" w:rsidRPr="0055765D" w:rsidRDefault="00FF185B" w:rsidP="004E54A8">
            <w:pPr>
              <w:widowControl w:val="0"/>
              <w:jc w:val="center"/>
              <w:rPr>
                <w:rFonts w:ascii="Verdana" w:hAnsi="Verdana" w:cs="Tahoma"/>
                <w:sz w:val="16"/>
                <w:szCs w:val="16"/>
              </w:rPr>
            </w:pPr>
            <w:r>
              <w:rPr>
                <w:rFonts w:ascii="Verdana" w:hAnsi="Verdana"/>
                <w:sz w:val="16"/>
              </w:rPr>
              <w:t>Nízka</w:t>
            </w:r>
          </w:p>
        </w:tc>
        <w:tc>
          <w:tcPr>
            <w:tcW w:w="1329" w:type="dxa"/>
            <w:tcMar>
              <w:top w:w="85" w:type="dxa"/>
              <w:bottom w:w="85" w:type="dxa"/>
            </w:tcMar>
          </w:tcPr>
          <w:p w:rsidR="00993467" w:rsidRPr="0055765D" w:rsidRDefault="00FF185B" w:rsidP="004E54A8">
            <w:pPr>
              <w:widowControl w:val="0"/>
              <w:jc w:val="center"/>
              <w:rPr>
                <w:rFonts w:ascii="Verdana" w:hAnsi="Verdana" w:cs="Tahoma"/>
                <w:sz w:val="16"/>
                <w:szCs w:val="16"/>
              </w:rPr>
            </w:pPr>
            <w:r>
              <w:rPr>
                <w:rFonts w:ascii="Verdana" w:hAnsi="Verdana"/>
                <w:sz w:val="16"/>
              </w:rPr>
              <w:t>Stredná</w:t>
            </w:r>
          </w:p>
        </w:tc>
        <w:tc>
          <w:tcPr>
            <w:tcW w:w="939" w:type="dxa"/>
            <w:tcMar>
              <w:top w:w="85" w:type="dxa"/>
              <w:bottom w:w="85" w:type="dxa"/>
            </w:tcMar>
          </w:tcPr>
          <w:p w:rsidR="00993467" w:rsidRPr="0055765D" w:rsidRDefault="00993467" w:rsidP="004E54A8">
            <w:pPr>
              <w:widowControl w:val="0"/>
              <w:jc w:val="center"/>
              <w:rPr>
                <w:rFonts w:ascii="Verdana" w:hAnsi="Verdana" w:cs="Tahoma"/>
                <w:sz w:val="16"/>
                <w:szCs w:val="16"/>
              </w:rPr>
            </w:pPr>
            <w:r>
              <w:rPr>
                <w:rFonts w:ascii="Verdana" w:hAnsi="Verdana"/>
                <w:sz w:val="16"/>
              </w:rPr>
              <w:t>2</w:t>
            </w:r>
          </w:p>
        </w:tc>
        <w:tc>
          <w:tcPr>
            <w:tcW w:w="2835" w:type="dxa"/>
            <w:tcMar>
              <w:top w:w="85" w:type="dxa"/>
              <w:bottom w:w="85" w:type="dxa"/>
            </w:tcMar>
          </w:tcPr>
          <w:p w:rsidR="00993467" w:rsidRPr="0055765D" w:rsidRDefault="00993467" w:rsidP="00257CF8">
            <w:pPr>
              <w:widowControl w:val="0"/>
              <w:rPr>
                <w:rFonts w:ascii="Verdana" w:hAnsi="Verdana" w:cs="Tahoma"/>
                <w:sz w:val="16"/>
                <w:szCs w:val="16"/>
              </w:rPr>
            </w:pPr>
            <w:r>
              <w:rPr>
                <w:rFonts w:ascii="Verdana" w:hAnsi="Verdana"/>
                <w:sz w:val="16"/>
              </w:rPr>
              <w:t xml:space="preserve">Zdroje rizík zahŕňajú poruchy zariadenia a nehody u prevádzkovateľa. Mimoriadne nízka frekvencia výskytu. </w:t>
            </w:r>
          </w:p>
          <w:p w:rsidR="00993467" w:rsidRPr="0055765D" w:rsidRDefault="00993467" w:rsidP="00073E32">
            <w:pPr>
              <w:autoSpaceDE w:val="0"/>
              <w:autoSpaceDN w:val="0"/>
              <w:adjustRightInd w:val="0"/>
              <w:rPr>
                <w:rFonts w:ascii="Verdana" w:hAnsi="Verdana" w:cs="Tahoma"/>
                <w:sz w:val="16"/>
                <w:szCs w:val="16"/>
              </w:rPr>
            </w:pPr>
            <w:r>
              <w:rPr>
                <w:rFonts w:ascii="Verdana" w:hAnsi="Verdana"/>
                <w:sz w:val="16"/>
              </w:rPr>
              <w:t>Preventívne opatrenia na zníženie vplyvu zahŕňajú</w:t>
            </w:r>
          </w:p>
          <w:p w:rsidR="00993467" w:rsidRPr="0055765D" w:rsidRDefault="00993467" w:rsidP="000050B7">
            <w:pPr>
              <w:widowControl w:val="0"/>
              <w:rPr>
                <w:rFonts w:ascii="Verdana" w:hAnsi="Verdana" w:cs="Tahoma"/>
                <w:sz w:val="16"/>
                <w:szCs w:val="16"/>
              </w:rPr>
            </w:pPr>
            <w:r>
              <w:rPr>
                <w:rFonts w:ascii="Verdana" w:hAnsi="Verdana"/>
                <w:sz w:val="16"/>
              </w:rPr>
              <w:t>automatizované bezpečnostné mechanizmy, zabránenie šíreniu únikov, zabezpečenie miesta, obmedzený prístup na miesto.</w:t>
            </w:r>
          </w:p>
        </w:tc>
        <w:tc>
          <w:tcPr>
            <w:tcW w:w="1559" w:type="dxa"/>
            <w:tcMar>
              <w:top w:w="85" w:type="dxa"/>
              <w:bottom w:w="85" w:type="dxa"/>
            </w:tcMar>
          </w:tcPr>
          <w:p w:rsidR="00993467" w:rsidRPr="0055765D" w:rsidRDefault="00993467" w:rsidP="004E54A8">
            <w:pPr>
              <w:widowControl w:val="0"/>
              <w:rPr>
                <w:rFonts w:ascii="Verdana" w:hAnsi="Verdana" w:cs="Tahoma"/>
                <w:sz w:val="16"/>
                <w:szCs w:val="16"/>
              </w:rPr>
            </w:pPr>
          </w:p>
        </w:tc>
        <w:tc>
          <w:tcPr>
            <w:tcW w:w="2551" w:type="dxa"/>
            <w:tcMar>
              <w:top w:w="85" w:type="dxa"/>
              <w:bottom w:w="85" w:type="dxa"/>
            </w:tcMar>
          </w:tcPr>
          <w:p w:rsidR="00993467" w:rsidRPr="0055765D" w:rsidRDefault="00993467" w:rsidP="004E54A8">
            <w:pPr>
              <w:widowControl w:val="0"/>
              <w:rPr>
                <w:rFonts w:ascii="Verdana" w:hAnsi="Verdana" w:cs="Tahoma"/>
                <w:sz w:val="16"/>
                <w:szCs w:val="16"/>
              </w:rPr>
            </w:pPr>
            <w:r>
              <w:rPr>
                <w:rFonts w:ascii="Verdana" w:hAnsi="Verdana"/>
                <w:sz w:val="16"/>
              </w:rPr>
              <w:t>Zavedený postup skladovania.</w:t>
            </w:r>
          </w:p>
        </w:tc>
        <w:tc>
          <w:tcPr>
            <w:tcW w:w="2127" w:type="dxa"/>
            <w:tcMar>
              <w:top w:w="85" w:type="dxa"/>
              <w:bottom w:w="85" w:type="dxa"/>
            </w:tcMar>
          </w:tcPr>
          <w:p w:rsidR="00993467" w:rsidRPr="0055765D" w:rsidRDefault="00993467" w:rsidP="004E54A8">
            <w:pPr>
              <w:widowControl w:val="0"/>
              <w:rPr>
                <w:rFonts w:ascii="Verdana" w:hAnsi="Verdana" w:cs="Tahoma"/>
                <w:sz w:val="16"/>
                <w:szCs w:val="16"/>
              </w:rPr>
            </w:pPr>
          </w:p>
        </w:tc>
      </w:tr>
    </w:tbl>
    <w:p w:rsidR="004E54A8" w:rsidRPr="00A8208F" w:rsidRDefault="004E54A8" w:rsidP="004E54A8">
      <w:pPr>
        <w:rPr>
          <w:rFonts w:ascii="Verdana" w:hAnsi="Verdana" w:cs="Tahoma"/>
          <w:sz w:val="14"/>
          <w:szCs w:val="14"/>
        </w:rPr>
      </w:pPr>
    </w:p>
    <w:p w:rsidR="008675C9" w:rsidRPr="00A8208F" w:rsidRDefault="008675C9" w:rsidP="008675C9">
      <w:pPr>
        <w:pStyle w:val="Heading1"/>
        <w:numPr>
          <w:ilvl w:val="0"/>
          <w:numId w:val="0"/>
        </w:numPr>
        <w:ind w:left="432"/>
        <w:rPr>
          <w:rFonts w:ascii="Verdana" w:hAnsi="Verdana" w:cs="Tahoma"/>
          <w:sz w:val="14"/>
          <w:szCs w:val="14"/>
        </w:rPr>
      </w:pPr>
    </w:p>
    <w:p w:rsidR="00E33DAE" w:rsidRPr="00A8208F" w:rsidRDefault="00DB5BD0" w:rsidP="008675C9">
      <w:pPr>
        <w:pStyle w:val="Heading1"/>
        <w:numPr>
          <w:ilvl w:val="0"/>
          <w:numId w:val="0"/>
        </w:numPr>
        <w:ind w:left="432"/>
        <w:rPr>
          <w:rFonts w:ascii="Verdana" w:hAnsi="Verdana" w:cs="Tahoma"/>
          <w:sz w:val="14"/>
          <w:szCs w:val="14"/>
        </w:rPr>
      </w:pPr>
      <w:r>
        <w:br w:type="page"/>
      </w:r>
    </w:p>
    <w:p w:rsidR="004E54A8" w:rsidRPr="00A8208F" w:rsidRDefault="004E54A8" w:rsidP="004E54A8">
      <w:pPr>
        <w:rPr>
          <w:rFonts w:ascii="Verdana" w:hAnsi="Verdana" w:cs="Tahoma"/>
          <w:sz w:val="14"/>
          <w:szCs w:val="14"/>
        </w:rPr>
      </w:pPr>
    </w:p>
    <w:p w:rsidR="004E54A8" w:rsidRPr="00A8208F" w:rsidRDefault="004E54A8" w:rsidP="004E54A8">
      <w:pPr>
        <w:rPr>
          <w:rFonts w:ascii="Verdana" w:hAnsi="Verdana" w:cs="Tahoma"/>
          <w:sz w:val="14"/>
          <w:szCs w:val="1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636"/>
        <w:gridCol w:w="877"/>
        <w:gridCol w:w="1417"/>
        <w:gridCol w:w="851"/>
        <w:gridCol w:w="2524"/>
        <w:gridCol w:w="1870"/>
        <w:gridCol w:w="2551"/>
        <w:gridCol w:w="2127"/>
      </w:tblGrid>
      <w:tr w:rsidR="00C724B8" w:rsidRPr="00A8208F" w:rsidTr="00B86C6B">
        <w:trPr>
          <w:trHeight w:val="558"/>
        </w:trPr>
        <w:tc>
          <w:tcPr>
            <w:tcW w:w="4786" w:type="dxa"/>
            <w:gridSpan w:val="4"/>
            <w:tcBorders>
              <w:bottom w:val="single" w:sz="4" w:space="0" w:color="auto"/>
            </w:tcBorders>
            <w:shd w:val="clear" w:color="auto" w:fill="0DA72A"/>
            <w:tcMar>
              <w:top w:w="57" w:type="dxa"/>
              <w:bottom w:w="57" w:type="dxa"/>
            </w:tcMar>
            <w:vAlign w:val="center"/>
          </w:tcPr>
          <w:p w:rsidR="00C724B8" w:rsidRPr="00C724B8" w:rsidRDefault="00E80F73" w:rsidP="00C724B8">
            <w:pPr>
              <w:widowControl w:val="0"/>
              <w:spacing w:before="20" w:after="20"/>
              <w:ind w:left="85" w:right="85"/>
              <w:rPr>
                <w:rFonts w:ascii="Verdana" w:hAnsi="Verdana"/>
                <w:b/>
                <w:color w:val="FFFFFF"/>
                <w:sz w:val="32"/>
                <w:szCs w:val="32"/>
              </w:rPr>
            </w:pPr>
            <w:r>
              <w:rPr>
                <w:rFonts w:ascii="Verdana" w:hAnsi="Verdana"/>
                <w:b/>
                <w:color w:val="FFFFFF"/>
                <w:sz w:val="32"/>
              </w:rPr>
              <w:t>8. Prístup založený na rizikách, pokiaľ ide o glycerín</w:t>
            </w:r>
          </w:p>
          <w:p w:rsidR="00C724B8" w:rsidRPr="00A8208F" w:rsidRDefault="00C724B8" w:rsidP="00542173">
            <w:pPr>
              <w:widowControl w:val="0"/>
              <w:spacing w:before="20" w:after="20"/>
              <w:jc w:val="right"/>
              <w:rPr>
                <w:rFonts w:ascii="Verdana" w:hAnsi="Verdana" w:cs="Tahoma"/>
                <w:b/>
                <w:bCs/>
                <w:color w:val="FFFFFF"/>
                <w:sz w:val="28"/>
                <w:szCs w:val="28"/>
              </w:rPr>
            </w:pPr>
          </w:p>
        </w:tc>
        <w:tc>
          <w:tcPr>
            <w:tcW w:w="9923" w:type="dxa"/>
            <w:gridSpan w:val="5"/>
            <w:tcBorders>
              <w:left w:val="nil"/>
              <w:bottom w:val="single" w:sz="4" w:space="0" w:color="auto"/>
            </w:tcBorders>
            <w:shd w:val="clear" w:color="auto" w:fill="0DA72A"/>
            <w:tcMar>
              <w:top w:w="57" w:type="dxa"/>
              <w:bottom w:w="57" w:type="dxa"/>
            </w:tcMar>
            <w:vAlign w:val="center"/>
          </w:tcPr>
          <w:p w:rsidR="00C724B8" w:rsidRPr="00A8208F" w:rsidRDefault="00C724B8" w:rsidP="00AE2E62">
            <w:pPr>
              <w:widowControl w:val="0"/>
              <w:rPr>
                <w:rFonts w:ascii="Verdana" w:hAnsi="Verdana" w:cs="Tahoma"/>
                <w:b/>
                <w:color w:val="FFFFFF"/>
                <w:sz w:val="28"/>
                <w:szCs w:val="28"/>
              </w:rPr>
            </w:pPr>
            <w:r>
              <w:rPr>
                <w:rFonts w:ascii="Verdana" w:hAnsi="Verdana"/>
                <w:b/>
                <w:color w:val="FFFFFF"/>
                <w:sz w:val="28"/>
              </w:rPr>
              <w:t>4. Stupeň 1 z 3 – Transesterifikácia (chemická reakcia)</w:t>
            </w:r>
          </w:p>
        </w:tc>
      </w:tr>
      <w:tr w:rsidR="00B86C6B" w:rsidRPr="00A8208F" w:rsidTr="008A645C">
        <w:trPr>
          <w:trHeight w:val="988"/>
        </w:trPr>
        <w:tc>
          <w:tcPr>
            <w:tcW w:w="1856" w:type="dxa"/>
            <w:tcBorders>
              <w:bottom w:val="single" w:sz="4" w:space="0" w:color="auto"/>
            </w:tcBorders>
            <w:shd w:val="clear" w:color="auto" w:fill="0DA72A"/>
            <w:tcMar>
              <w:top w:w="28" w:type="dxa"/>
              <w:bottom w:w="28" w:type="dxa"/>
            </w:tcMar>
            <w:vAlign w:val="center"/>
          </w:tcPr>
          <w:p w:rsidR="00B86C6B" w:rsidRPr="00A8208F" w:rsidRDefault="00B86C6B" w:rsidP="00542173">
            <w:pPr>
              <w:widowControl w:val="0"/>
              <w:spacing w:before="20" w:after="20"/>
              <w:rPr>
                <w:rFonts w:ascii="Verdana" w:hAnsi="Verdana" w:cs="Tahoma"/>
                <w:b/>
                <w:bCs/>
                <w:color w:val="FFFFFF"/>
                <w:sz w:val="14"/>
                <w:szCs w:val="14"/>
              </w:rPr>
            </w:pPr>
            <w:r>
              <w:rPr>
                <w:rFonts w:ascii="Verdana" w:hAnsi="Verdana"/>
                <w:b/>
                <w:color w:val="FFFFFF"/>
                <w:sz w:val="14"/>
              </w:rPr>
              <w:t xml:space="preserve">NEBEZPEČENSTVO </w:t>
            </w:r>
          </w:p>
        </w:tc>
        <w:tc>
          <w:tcPr>
            <w:tcW w:w="636" w:type="dxa"/>
            <w:tcBorders>
              <w:bottom w:val="single" w:sz="4" w:space="0" w:color="auto"/>
            </w:tcBorders>
            <w:shd w:val="clear" w:color="auto" w:fill="0DA72A"/>
            <w:tcMar>
              <w:top w:w="28" w:type="dxa"/>
              <w:bottom w:w="28" w:type="dxa"/>
            </w:tcMar>
            <w:vAlign w:val="center"/>
          </w:tcPr>
          <w:p w:rsidR="00B86C6B" w:rsidRPr="00A8208F" w:rsidRDefault="00B86C6B" w:rsidP="00542173">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KATEGÓRIA </w:t>
            </w:r>
          </w:p>
        </w:tc>
        <w:tc>
          <w:tcPr>
            <w:tcW w:w="877" w:type="dxa"/>
            <w:tcBorders>
              <w:bottom w:val="single" w:sz="4" w:space="0" w:color="auto"/>
            </w:tcBorders>
            <w:shd w:val="clear" w:color="auto" w:fill="0DA72A"/>
            <w:tcMar>
              <w:top w:w="28" w:type="dxa"/>
              <w:bottom w:w="28" w:type="dxa"/>
            </w:tcMar>
            <w:vAlign w:val="center"/>
          </w:tcPr>
          <w:p w:rsidR="00B86C6B" w:rsidRPr="00A8208F" w:rsidRDefault="00B86C6B" w:rsidP="00542173">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PRAVDEPODOBNOSŤ </w:t>
            </w:r>
          </w:p>
        </w:tc>
        <w:tc>
          <w:tcPr>
            <w:tcW w:w="1417" w:type="dxa"/>
            <w:tcBorders>
              <w:bottom w:val="single" w:sz="4" w:space="0" w:color="auto"/>
            </w:tcBorders>
            <w:shd w:val="clear" w:color="auto" w:fill="0DA72A"/>
            <w:tcMar>
              <w:top w:w="28" w:type="dxa"/>
              <w:bottom w:w="28" w:type="dxa"/>
            </w:tcMar>
            <w:vAlign w:val="center"/>
          </w:tcPr>
          <w:p w:rsidR="00B86C6B" w:rsidRPr="00A8208F" w:rsidRDefault="00B86C6B" w:rsidP="00542173">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ZÁVAŽNOSŤ </w:t>
            </w:r>
          </w:p>
        </w:tc>
        <w:tc>
          <w:tcPr>
            <w:tcW w:w="851" w:type="dxa"/>
            <w:tcBorders>
              <w:bottom w:val="single" w:sz="4" w:space="0" w:color="auto"/>
            </w:tcBorders>
            <w:shd w:val="clear" w:color="auto" w:fill="0DA72A"/>
            <w:tcMar>
              <w:top w:w="28" w:type="dxa"/>
              <w:bottom w:w="28" w:type="dxa"/>
            </w:tcMar>
            <w:vAlign w:val="center"/>
          </w:tcPr>
          <w:p w:rsidR="00B86C6B" w:rsidRPr="00A8208F" w:rsidRDefault="00B86C6B" w:rsidP="00542173">
            <w:pPr>
              <w:widowControl w:val="0"/>
              <w:spacing w:before="20" w:after="20"/>
              <w:jc w:val="center"/>
              <w:rPr>
                <w:rFonts w:ascii="Verdana" w:hAnsi="Verdana" w:cs="Tahoma"/>
                <w:b/>
                <w:bCs/>
                <w:color w:val="FFFFFF"/>
                <w:sz w:val="14"/>
                <w:szCs w:val="14"/>
              </w:rPr>
            </w:pPr>
            <w:r>
              <w:rPr>
                <w:rFonts w:ascii="Verdana" w:hAnsi="Verdana"/>
                <w:b/>
                <w:color w:val="FFFFFF"/>
                <w:sz w:val="14"/>
              </w:rPr>
              <w:t>TRIEDA RIZIKA</w:t>
            </w:r>
          </w:p>
        </w:tc>
        <w:tc>
          <w:tcPr>
            <w:tcW w:w="2524" w:type="dxa"/>
            <w:tcBorders>
              <w:bottom w:val="single" w:sz="4" w:space="0" w:color="auto"/>
            </w:tcBorders>
            <w:shd w:val="clear" w:color="auto" w:fill="0DA72A"/>
            <w:tcMar>
              <w:top w:w="28" w:type="dxa"/>
              <w:bottom w:w="28" w:type="dxa"/>
            </w:tcMar>
            <w:vAlign w:val="center"/>
          </w:tcPr>
          <w:p w:rsidR="00B86C6B" w:rsidRPr="00A8208F" w:rsidRDefault="00B86C6B" w:rsidP="00542173">
            <w:pPr>
              <w:widowControl w:val="0"/>
              <w:spacing w:before="20" w:after="20"/>
              <w:jc w:val="center"/>
              <w:rPr>
                <w:rFonts w:ascii="Verdana" w:hAnsi="Verdana" w:cs="Tahoma"/>
                <w:b/>
                <w:bCs/>
                <w:color w:val="FFFFFF"/>
                <w:sz w:val="14"/>
                <w:szCs w:val="14"/>
              </w:rPr>
            </w:pPr>
            <w:r>
              <w:rPr>
                <w:rFonts w:ascii="Verdana" w:hAnsi="Verdana"/>
                <w:b/>
                <w:color w:val="FFFFFF"/>
                <w:sz w:val="14"/>
              </w:rPr>
              <w:t>ZDÔVODNENIE</w:t>
            </w:r>
          </w:p>
        </w:tc>
        <w:tc>
          <w:tcPr>
            <w:tcW w:w="1870" w:type="dxa"/>
            <w:tcBorders>
              <w:bottom w:val="single" w:sz="4" w:space="0" w:color="auto"/>
            </w:tcBorders>
            <w:shd w:val="clear" w:color="auto" w:fill="0DA72A"/>
            <w:tcMar>
              <w:top w:w="28" w:type="dxa"/>
              <w:bottom w:w="28" w:type="dxa"/>
            </w:tcMar>
            <w:vAlign w:val="center"/>
          </w:tcPr>
          <w:p w:rsidR="00B86C6B" w:rsidRPr="00A8208F" w:rsidRDefault="00B86C6B" w:rsidP="00A8208F">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PRÁVNE PREDPISY, ODVETVOVÉ NORMY </w:t>
            </w:r>
          </w:p>
        </w:tc>
        <w:tc>
          <w:tcPr>
            <w:tcW w:w="2551" w:type="dxa"/>
            <w:tcBorders>
              <w:bottom w:val="single" w:sz="4" w:space="0" w:color="auto"/>
            </w:tcBorders>
            <w:shd w:val="clear" w:color="auto" w:fill="0DA72A"/>
            <w:tcMar>
              <w:top w:w="28" w:type="dxa"/>
              <w:bottom w:w="28" w:type="dxa"/>
            </w:tcMar>
            <w:vAlign w:val="center"/>
          </w:tcPr>
          <w:p w:rsidR="00B86C6B" w:rsidRPr="00A8208F" w:rsidRDefault="00B86C6B" w:rsidP="00542173">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KONTROLNÉ OPATRENIE  </w:t>
            </w:r>
          </w:p>
        </w:tc>
        <w:tc>
          <w:tcPr>
            <w:tcW w:w="2127" w:type="dxa"/>
            <w:tcBorders>
              <w:bottom w:val="single" w:sz="4" w:space="0" w:color="auto"/>
            </w:tcBorders>
            <w:shd w:val="clear" w:color="auto" w:fill="0DA72A"/>
            <w:tcMar>
              <w:top w:w="28" w:type="dxa"/>
              <w:bottom w:w="28" w:type="dxa"/>
            </w:tcMar>
            <w:vAlign w:val="center"/>
          </w:tcPr>
          <w:p w:rsidR="00B86C6B" w:rsidRPr="00A8208F" w:rsidRDefault="00B86C6B" w:rsidP="00542173">
            <w:pPr>
              <w:widowControl w:val="0"/>
              <w:spacing w:before="20" w:after="20"/>
              <w:jc w:val="center"/>
              <w:rPr>
                <w:rFonts w:ascii="Verdana" w:hAnsi="Verdana" w:cs="Tahoma"/>
                <w:color w:val="FFFFFF"/>
                <w:sz w:val="14"/>
                <w:szCs w:val="14"/>
              </w:rPr>
            </w:pPr>
            <w:r>
              <w:rPr>
                <w:rFonts w:ascii="Verdana" w:hAnsi="Verdana"/>
                <w:b/>
                <w:color w:val="FFFFFF"/>
                <w:sz w:val="14"/>
              </w:rPr>
              <w:t xml:space="preserve">POZNÁMKY </w:t>
            </w:r>
          </w:p>
        </w:tc>
      </w:tr>
      <w:tr w:rsidR="00B86C6B" w:rsidRPr="00957197" w:rsidTr="008A645C">
        <w:trPr>
          <w:trHeight w:val="151"/>
        </w:trPr>
        <w:tc>
          <w:tcPr>
            <w:tcW w:w="1856" w:type="dxa"/>
            <w:tcBorders>
              <w:bottom w:val="single" w:sz="4" w:space="0" w:color="auto"/>
            </w:tcBorders>
            <w:tcMar>
              <w:top w:w="85" w:type="dxa"/>
              <w:bottom w:w="85" w:type="dxa"/>
            </w:tcMar>
          </w:tcPr>
          <w:p w:rsidR="00B86C6B" w:rsidRPr="0055765D" w:rsidRDefault="00AB5105" w:rsidP="00542173">
            <w:pPr>
              <w:widowControl w:val="0"/>
              <w:rPr>
                <w:rFonts w:ascii="Verdana" w:hAnsi="Verdana" w:cs="Tahoma"/>
                <w:b/>
                <w:bCs/>
                <w:sz w:val="16"/>
                <w:szCs w:val="16"/>
              </w:rPr>
            </w:pPr>
            <w:r>
              <w:rPr>
                <w:rFonts w:ascii="Verdana" w:hAnsi="Verdana"/>
                <w:b/>
                <w:sz w:val="16"/>
              </w:rPr>
              <w:t xml:space="preserve">Kontaminanty v technologických pomocných látkach  </w:t>
            </w:r>
          </w:p>
          <w:p w:rsidR="00B86C6B" w:rsidRPr="0055765D" w:rsidRDefault="00B86C6B" w:rsidP="00542173">
            <w:pPr>
              <w:widowControl w:val="0"/>
              <w:rPr>
                <w:rFonts w:ascii="Verdana" w:hAnsi="Verdana" w:cs="Tahoma"/>
                <w:b/>
                <w:bCs/>
                <w:sz w:val="16"/>
                <w:szCs w:val="16"/>
              </w:rPr>
            </w:pPr>
            <w:r>
              <w:rPr>
                <w:rFonts w:ascii="Verdana" w:hAnsi="Verdana"/>
                <w:b/>
                <w:sz w:val="16"/>
              </w:rPr>
              <w:t>(alkalický roztok, kyseliny)</w:t>
            </w:r>
          </w:p>
        </w:tc>
        <w:tc>
          <w:tcPr>
            <w:tcW w:w="636" w:type="dxa"/>
            <w:tcBorders>
              <w:bottom w:val="single" w:sz="4" w:space="0" w:color="auto"/>
            </w:tcBorders>
            <w:tcMar>
              <w:top w:w="85" w:type="dxa"/>
              <w:bottom w:w="85" w:type="dxa"/>
            </w:tcMar>
          </w:tcPr>
          <w:p w:rsidR="00B86C6B" w:rsidRPr="0055765D" w:rsidRDefault="00B86C6B" w:rsidP="00542173">
            <w:pPr>
              <w:widowControl w:val="0"/>
              <w:jc w:val="center"/>
              <w:rPr>
                <w:rFonts w:ascii="Verdana" w:hAnsi="Verdana" w:cs="Tahoma"/>
                <w:sz w:val="16"/>
                <w:szCs w:val="16"/>
              </w:rPr>
            </w:pPr>
            <w:r>
              <w:rPr>
                <w:rFonts w:ascii="Verdana" w:hAnsi="Verdana"/>
                <w:sz w:val="16"/>
              </w:rPr>
              <w:t>CH</w:t>
            </w:r>
          </w:p>
        </w:tc>
        <w:tc>
          <w:tcPr>
            <w:tcW w:w="877" w:type="dxa"/>
            <w:tcBorders>
              <w:bottom w:val="single" w:sz="4" w:space="0" w:color="auto"/>
            </w:tcBorders>
            <w:tcMar>
              <w:top w:w="85" w:type="dxa"/>
              <w:bottom w:w="85" w:type="dxa"/>
            </w:tcMar>
          </w:tcPr>
          <w:p w:rsidR="00B86C6B" w:rsidRPr="0055765D" w:rsidRDefault="00B86C6B" w:rsidP="00FF185B">
            <w:pPr>
              <w:widowControl w:val="0"/>
              <w:jc w:val="center"/>
              <w:rPr>
                <w:rFonts w:ascii="Verdana" w:hAnsi="Verdana" w:cs="Tahoma"/>
                <w:sz w:val="16"/>
                <w:szCs w:val="16"/>
              </w:rPr>
            </w:pPr>
            <w:r>
              <w:rPr>
                <w:rFonts w:ascii="Verdana" w:hAnsi="Verdana"/>
                <w:sz w:val="16"/>
              </w:rPr>
              <w:t xml:space="preserve"> Nízka</w:t>
            </w:r>
          </w:p>
        </w:tc>
        <w:tc>
          <w:tcPr>
            <w:tcW w:w="1417" w:type="dxa"/>
            <w:tcBorders>
              <w:bottom w:val="single" w:sz="4" w:space="0" w:color="auto"/>
            </w:tcBorders>
            <w:tcMar>
              <w:top w:w="85" w:type="dxa"/>
              <w:bottom w:w="85" w:type="dxa"/>
            </w:tcMar>
          </w:tcPr>
          <w:p w:rsidR="00B86C6B" w:rsidRPr="0055765D" w:rsidRDefault="00FF185B" w:rsidP="00542173">
            <w:pPr>
              <w:widowControl w:val="0"/>
              <w:jc w:val="center"/>
              <w:rPr>
                <w:rFonts w:ascii="Verdana" w:hAnsi="Verdana" w:cs="Tahoma"/>
                <w:sz w:val="16"/>
                <w:szCs w:val="16"/>
              </w:rPr>
            </w:pPr>
            <w:r>
              <w:rPr>
                <w:rFonts w:ascii="Verdana" w:hAnsi="Verdana"/>
                <w:sz w:val="16"/>
              </w:rPr>
              <w:t>Stredná</w:t>
            </w:r>
          </w:p>
        </w:tc>
        <w:tc>
          <w:tcPr>
            <w:tcW w:w="851" w:type="dxa"/>
            <w:tcBorders>
              <w:bottom w:val="single" w:sz="4" w:space="0" w:color="auto"/>
            </w:tcBorders>
            <w:shd w:val="clear" w:color="auto" w:fill="auto"/>
            <w:tcMar>
              <w:top w:w="85" w:type="dxa"/>
              <w:bottom w:w="85" w:type="dxa"/>
            </w:tcMar>
          </w:tcPr>
          <w:p w:rsidR="00B86C6B" w:rsidRPr="0055765D" w:rsidRDefault="00CE6A2B" w:rsidP="00CE6A2B">
            <w:pPr>
              <w:widowControl w:val="0"/>
              <w:jc w:val="center"/>
              <w:rPr>
                <w:rFonts w:ascii="Verdana" w:hAnsi="Verdana" w:cs="Tahoma"/>
                <w:sz w:val="16"/>
                <w:szCs w:val="16"/>
              </w:rPr>
            </w:pPr>
            <w:r>
              <w:rPr>
                <w:rFonts w:ascii="Verdana" w:hAnsi="Verdana"/>
                <w:sz w:val="16"/>
              </w:rPr>
              <w:t xml:space="preserve">2 </w:t>
            </w:r>
          </w:p>
        </w:tc>
        <w:tc>
          <w:tcPr>
            <w:tcW w:w="2524" w:type="dxa"/>
            <w:tcBorders>
              <w:bottom w:val="single" w:sz="4" w:space="0" w:color="auto"/>
            </w:tcBorders>
            <w:tcMar>
              <w:top w:w="85" w:type="dxa"/>
              <w:bottom w:w="85" w:type="dxa"/>
            </w:tcMar>
          </w:tcPr>
          <w:p w:rsidR="00B86C6B" w:rsidRPr="0055765D" w:rsidRDefault="00B86C6B" w:rsidP="00542173">
            <w:pPr>
              <w:widowControl w:val="0"/>
              <w:rPr>
                <w:rFonts w:ascii="Verdana" w:hAnsi="Verdana" w:cs="Tahoma"/>
                <w:sz w:val="16"/>
                <w:szCs w:val="16"/>
              </w:rPr>
            </w:pPr>
            <w:r>
              <w:rPr>
                <w:rFonts w:ascii="Verdana" w:hAnsi="Verdana"/>
                <w:sz w:val="16"/>
              </w:rPr>
              <w:t>Technologické pomocné látky prichádzajú do kontaktu s produktom.</w:t>
            </w:r>
          </w:p>
        </w:tc>
        <w:tc>
          <w:tcPr>
            <w:tcW w:w="1870" w:type="dxa"/>
            <w:tcBorders>
              <w:bottom w:val="single" w:sz="4" w:space="0" w:color="auto"/>
            </w:tcBorders>
            <w:tcMar>
              <w:top w:w="85" w:type="dxa"/>
              <w:bottom w:w="85" w:type="dxa"/>
            </w:tcMar>
          </w:tcPr>
          <w:p w:rsidR="00B86C6B" w:rsidRPr="0055765D" w:rsidRDefault="00CB6F5D" w:rsidP="00542173">
            <w:pPr>
              <w:widowControl w:val="0"/>
              <w:rPr>
                <w:rFonts w:ascii="Verdana" w:hAnsi="Verdana" w:cs="Tahoma"/>
                <w:sz w:val="16"/>
                <w:szCs w:val="16"/>
              </w:rPr>
            </w:pPr>
            <w:r>
              <w:rPr>
                <w:rFonts w:ascii="Verdana" w:hAnsi="Verdana"/>
                <w:sz w:val="16"/>
              </w:rPr>
              <w:t>Nariadenie (EÚ) č. 68/2013 o Katalógu kŕmnych surovín</w:t>
            </w:r>
          </w:p>
        </w:tc>
        <w:tc>
          <w:tcPr>
            <w:tcW w:w="2551" w:type="dxa"/>
            <w:tcBorders>
              <w:bottom w:val="single" w:sz="4" w:space="0" w:color="auto"/>
            </w:tcBorders>
            <w:tcMar>
              <w:top w:w="85" w:type="dxa"/>
              <w:bottom w:w="85" w:type="dxa"/>
            </w:tcMar>
          </w:tcPr>
          <w:p w:rsidR="00B86C6B" w:rsidRPr="0055765D" w:rsidRDefault="00B86C6B" w:rsidP="00542173">
            <w:pPr>
              <w:widowControl w:val="0"/>
              <w:rPr>
                <w:rFonts w:ascii="Verdana" w:hAnsi="Verdana" w:cs="Tahoma"/>
                <w:sz w:val="16"/>
                <w:szCs w:val="16"/>
              </w:rPr>
            </w:pPr>
            <w:r>
              <w:rPr>
                <w:rFonts w:ascii="Verdana" w:hAnsi="Verdana"/>
                <w:sz w:val="16"/>
              </w:rPr>
              <w:t xml:space="preserve">Na zníženie rizika na prijateľnú úroveň sa musia vyhodnotiť technologické pomocné látky, ktoré priamo prichádzajú do styku s olejom, a prijať vhodné opatrenia. </w:t>
            </w:r>
          </w:p>
          <w:p w:rsidR="00B86C6B" w:rsidRPr="0055765D" w:rsidRDefault="00B86C6B" w:rsidP="00542173">
            <w:pPr>
              <w:widowControl w:val="0"/>
              <w:rPr>
                <w:rFonts w:ascii="Verdana" w:hAnsi="Verdana" w:cs="Tahoma"/>
                <w:sz w:val="16"/>
                <w:szCs w:val="16"/>
              </w:rPr>
            </w:pPr>
          </w:p>
          <w:p w:rsidR="00B86C6B" w:rsidRPr="0055765D" w:rsidRDefault="001062E6" w:rsidP="00542173">
            <w:pPr>
              <w:widowControl w:val="0"/>
              <w:rPr>
                <w:rFonts w:ascii="Verdana" w:hAnsi="Verdana" w:cs="Tahoma"/>
                <w:sz w:val="16"/>
                <w:szCs w:val="16"/>
              </w:rPr>
            </w:pPr>
            <w:r>
              <w:rPr>
                <w:rFonts w:ascii="Verdana" w:hAnsi="Verdana"/>
                <w:sz w:val="16"/>
              </w:rPr>
              <w:t>Inline monitorovanie procesu, správne označovanie nádob na chemikálie.</w:t>
            </w:r>
          </w:p>
        </w:tc>
        <w:tc>
          <w:tcPr>
            <w:tcW w:w="2127" w:type="dxa"/>
            <w:tcBorders>
              <w:bottom w:val="single" w:sz="4" w:space="0" w:color="auto"/>
            </w:tcBorders>
            <w:tcMar>
              <w:top w:w="85" w:type="dxa"/>
              <w:bottom w:w="85" w:type="dxa"/>
            </w:tcMar>
          </w:tcPr>
          <w:p w:rsidR="00B86C6B" w:rsidRPr="0055765D" w:rsidRDefault="00B86C6B" w:rsidP="00542173">
            <w:pPr>
              <w:widowControl w:val="0"/>
              <w:rPr>
                <w:rFonts w:ascii="Verdana" w:hAnsi="Verdana" w:cs="Tahoma"/>
                <w:sz w:val="16"/>
                <w:szCs w:val="16"/>
              </w:rPr>
            </w:pPr>
          </w:p>
        </w:tc>
      </w:tr>
      <w:tr w:rsidR="00B86C6B" w:rsidRPr="00957197" w:rsidTr="00B86C6B">
        <w:trPr>
          <w:trHeight w:val="151"/>
        </w:trPr>
        <w:tc>
          <w:tcPr>
            <w:tcW w:w="1856" w:type="dxa"/>
            <w:tcMar>
              <w:top w:w="85" w:type="dxa"/>
              <w:bottom w:w="85" w:type="dxa"/>
            </w:tcMar>
          </w:tcPr>
          <w:p w:rsidR="00B86C6B" w:rsidRPr="0055765D" w:rsidRDefault="00B86C6B" w:rsidP="00542173">
            <w:pPr>
              <w:rPr>
                <w:rFonts w:ascii="Verdana" w:hAnsi="Verdana" w:cs="Tahoma"/>
                <w:b/>
                <w:bCs/>
                <w:sz w:val="16"/>
                <w:szCs w:val="16"/>
              </w:rPr>
            </w:pPr>
            <w:r>
              <w:rPr>
                <w:rFonts w:ascii="Verdana" w:hAnsi="Verdana"/>
                <w:b/>
                <w:sz w:val="16"/>
              </w:rPr>
              <w:t>Kontaminácia spôsobená počas pridávania metanolu</w:t>
            </w:r>
          </w:p>
          <w:p w:rsidR="00B86C6B" w:rsidRPr="0055765D" w:rsidRDefault="00B86C6B" w:rsidP="00542173">
            <w:pPr>
              <w:widowControl w:val="0"/>
              <w:rPr>
                <w:rFonts w:ascii="Verdana" w:hAnsi="Verdana" w:cs="Tahoma"/>
                <w:b/>
                <w:bCs/>
                <w:sz w:val="16"/>
                <w:szCs w:val="16"/>
              </w:rPr>
            </w:pPr>
          </w:p>
        </w:tc>
        <w:tc>
          <w:tcPr>
            <w:tcW w:w="636" w:type="dxa"/>
            <w:tcMar>
              <w:top w:w="85" w:type="dxa"/>
              <w:bottom w:w="85" w:type="dxa"/>
            </w:tcMar>
          </w:tcPr>
          <w:p w:rsidR="00B86C6B" w:rsidRPr="0055765D" w:rsidRDefault="00B86C6B" w:rsidP="00542173">
            <w:pPr>
              <w:jc w:val="center"/>
              <w:rPr>
                <w:rFonts w:ascii="Verdana" w:hAnsi="Verdana" w:cs="Tahoma"/>
                <w:sz w:val="16"/>
                <w:szCs w:val="16"/>
              </w:rPr>
            </w:pPr>
          </w:p>
        </w:tc>
        <w:tc>
          <w:tcPr>
            <w:tcW w:w="877" w:type="dxa"/>
            <w:tcMar>
              <w:top w:w="85" w:type="dxa"/>
              <w:bottom w:w="85" w:type="dxa"/>
            </w:tcMar>
          </w:tcPr>
          <w:p w:rsidR="00B86C6B" w:rsidRPr="0055765D" w:rsidRDefault="00B86C6B" w:rsidP="00542173">
            <w:pPr>
              <w:jc w:val="center"/>
              <w:rPr>
                <w:rFonts w:ascii="Verdana" w:hAnsi="Verdana" w:cs="Tahoma"/>
                <w:sz w:val="16"/>
                <w:szCs w:val="16"/>
              </w:rPr>
            </w:pPr>
            <w:r>
              <w:rPr>
                <w:rFonts w:ascii="Verdana" w:hAnsi="Verdana"/>
                <w:sz w:val="16"/>
              </w:rPr>
              <w:t>Nízka</w:t>
            </w:r>
          </w:p>
        </w:tc>
        <w:tc>
          <w:tcPr>
            <w:tcW w:w="1417" w:type="dxa"/>
            <w:tcMar>
              <w:top w:w="85" w:type="dxa"/>
              <w:bottom w:w="85" w:type="dxa"/>
            </w:tcMar>
          </w:tcPr>
          <w:p w:rsidR="00B86C6B" w:rsidRPr="0055765D" w:rsidRDefault="00B86C6B" w:rsidP="00542173">
            <w:pPr>
              <w:jc w:val="center"/>
              <w:rPr>
                <w:rFonts w:ascii="Verdana" w:hAnsi="Verdana" w:cs="Tahoma"/>
                <w:sz w:val="16"/>
                <w:szCs w:val="16"/>
              </w:rPr>
            </w:pPr>
            <w:r>
              <w:rPr>
                <w:rFonts w:ascii="Verdana" w:hAnsi="Verdana"/>
                <w:sz w:val="16"/>
              </w:rPr>
              <w:t>Stredná</w:t>
            </w:r>
          </w:p>
        </w:tc>
        <w:tc>
          <w:tcPr>
            <w:tcW w:w="851" w:type="dxa"/>
            <w:tcMar>
              <w:top w:w="85" w:type="dxa"/>
              <w:bottom w:w="85" w:type="dxa"/>
            </w:tcMar>
          </w:tcPr>
          <w:p w:rsidR="00B86C6B" w:rsidRPr="0055765D" w:rsidRDefault="00B86C6B" w:rsidP="00542173">
            <w:pPr>
              <w:jc w:val="center"/>
              <w:rPr>
                <w:rFonts w:ascii="Verdana" w:hAnsi="Verdana" w:cs="Tahoma"/>
                <w:sz w:val="16"/>
                <w:szCs w:val="16"/>
              </w:rPr>
            </w:pPr>
            <w:r>
              <w:rPr>
                <w:rFonts w:ascii="Verdana" w:hAnsi="Verdana"/>
                <w:sz w:val="16"/>
              </w:rPr>
              <w:t>2</w:t>
            </w:r>
          </w:p>
        </w:tc>
        <w:tc>
          <w:tcPr>
            <w:tcW w:w="2524" w:type="dxa"/>
            <w:tcMar>
              <w:top w:w="85" w:type="dxa"/>
              <w:bottom w:w="85" w:type="dxa"/>
            </w:tcMar>
          </w:tcPr>
          <w:p w:rsidR="00B86C6B" w:rsidRPr="0055765D" w:rsidRDefault="00B86C6B" w:rsidP="00B06E5A">
            <w:pPr>
              <w:rPr>
                <w:rFonts w:ascii="Verdana" w:hAnsi="Verdana" w:cs="Tahoma"/>
                <w:sz w:val="16"/>
                <w:szCs w:val="16"/>
              </w:rPr>
            </w:pPr>
            <w:r>
              <w:rPr>
                <w:rFonts w:ascii="Verdana" w:hAnsi="Verdana"/>
                <w:sz w:val="16"/>
              </w:rPr>
              <w:t>Nežiaduce látky v metanole.</w:t>
            </w:r>
          </w:p>
        </w:tc>
        <w:tc>
          <w:tcPr>
            <w:tcW w:w="1870" w:type="dxa"/>
            <w:tcMar>
              <w:top w:w="85" w:type="dxa"/>
              <w:bottom w:w="85" w:type="dxa"/>
            </w:tcMar>
          </w:tcPr>
          <w:p w:rsidR="00B86C6B" w:rsidRPr="0055765D" w:rsidRDefault="00B86C6B" w:rsidP="00542173">
            <w:pPr>
              <w:rPr>
                <w:rFonts w:ascii="Verdana" w:hAnsi="Verdana" w:cs="Tahoma"/>
                <w:sz w:val="16"/>
                <w:szCs w:val="16"/>
              </w:rPr>
            </w:pPr>
          </w:p>
        </w:tc>
        <w:tc>
          <w:tcPr>
            <w:tcW w:w="2551" w:type="dxa"/>
            <w:tcMar>
              <w:top w:w="85" w:type="dxa"/>
              <w:bottom w:w="85" w:type="dxa"/>
            </w:tcMar>
          </w:tcPr>
          <w:p w:rsidR="00B86C6B" w:rsidRPr="0055765D" w:rsidRDefault="00B86C6B" w:rsidP="00542173">
            <w:pPr>
              <w:widowControl w:val="0"/>
              <w:rPr>
                <w:rFonts w:ascii="Verdana" w:hAnsi="Verdana" w:cs="Tahoma"/>
                <w:iCs/>
                <w:sz w:val="16"/>
                <w:szCs w:val="16"/>
              </w:rPr>
            </w:pPr>
            <w:r>
              <w:rPr>
                <w:rFonts w:ascii="Verdana" w:hAnsi="Verdana"/>
                <w:sz w:val="16"/>
              </w:rPr>
              <w:t xml:space="preserve">Používajte metanol vhodnej kvality. </w:t>
            </w:r>
          </w:p>
          <w:p w:rsidR="00B86C6B" w:rsidRPr="0055765D" w:rsidRDefault="00B86C6B" w:rsidP="00542173">
            <w:pPr>
              <w:widowControl w:val="0"/>
              <w:rPr>
                <w:rFonts w:ascii="Verdana" w:hAnsi="Verdana" w:cs="Tahoma"/>
                <w:iCs/>
                <w:sz w:val="16"/>
                <w:szCs w:val="16"/>
              </w:rPr>
            </w:pPr>
          </w:p>
          <w:p w:rsidR="00B86C6B" w:rsidRPr="0055765D" w:rsidRDefault="00B86C6B" w:rsidP="00542173">
            <w:pPr>
              <w:widowControl w:val="0"/>
              <w:rPr>
                <w:rFonts w:ascii="Verdana" w:hAnsi="Verdana" w:cs="Tahoma"/>
                <w:iCs/>
                <w:sz w:val="16"/>
                <w:szCs w:val="16"/>
              </w:rPr>
            </w:pPr>
            <w:r>
              <w:rPr>
                <w:rFonts w:ascii="Verdana" w:hAnsi="Verdana"/>
                <w:sz w:val="16"/>
              </w:rPr>
              <w:t>Opísané v špecifikácii zákazky.</w:t>
            </w:r>
          </w:p>
          <w:p w:rsidR="00B86C6B" w:rsidRPr="0055765D" w:rsidRDefault="00B86C6B" w:rsidP="00542173">
            <w:pPr>
              <w:widowControl w:val="0"/>
              <w:rPr>
                <w:rFonts w:ascii="Verdana" w:hAnsi="Verdana" w:cs="Tahoma"/>
                <w:iCs/>
                <w:sz w:val="16"/>
                <w:szCs w:val="16"/>
              </w:rPr>
            </w:pPr>
          </w:p>
          <w:p w:rsidR="00B86C6B" w:rsidRPr="0055765D" w:rsidRDefault="00B86C6B" w:rsidP="00542173">
            <w:pPr>
              <w:widowControl w:val="0"/>
              <w:rPr>
                <w:rFonts w:ascii="Verdana" w:hAnsi="Verdana" w:cs="Tahoma"/>
                <w:iCs/>
                <w:sz w:val="16"/>
                <w:szCs w:val="16"/>
              </w:rPr>
            </w:pPr>
            <w:r>
              <w:rPr>
                <w:rFonts w:ascii="Verdana" w:hAnsi="Verdana"/>
                <w:sz w:val="16"/>
              </w:rPr>
              <w:t>Online monitorovanie procesu, správne označovanie nádob na chemikálie.</w:t>
            </w:r>
          </w:p>
        </w:tc>
        <w:tc>
          <w:tcPr>
            <w:tcW w:w="2127" w:type="dxa"/>
            <w:tcMar>
              <w:top w:w="85" w:type="dxa"/>
              <w:bottom w:w="85" w:type="dxa"/>
            </w:tcMar>
          </w:tcPr>
          <w:p w:rsidR="00B86C6B" w:rsidRPr="0055765D" w:rsidRDefault="00B86C6B" w:rsidP="00542173">
            <w:pPr>
              <w:rPr>
                <w:rFonts w:ascii="Verdana" w:hAnsi="Verdana" w:cs="Tahoma"/>
                <w:sz w:val="16"/>
                <w:szCs w:val="16"/>
              </w:rPr>
            </w:pPr>
            <w:r>
              <w:rPr>
                <w:rFonts w:ascii="Verdana" w:hAnsi="Verdana"/>
                <w:sz w:val="16"/>
              </w:rPr>
              <w:t>Vo veľmi malých prevádzkach môže manipulácia s nebezpečnými chemickými látkami predstavovať pre prevádzkovateľa zvýšené riziko, ak sa tieto chemické látky ručne prenášajú a používajú v dávkovom procese, oproti automatizovanému systému.</w:t>
            </w:r>
          </w:p>
          <w:p w:rsidR="00B86C6B" w:rsidRPr="0055765D" w:rsidRDefault="00B86C6B" w:rsidP="00542173">
            <w:pPr>
              <w:widowControl w:val="0"/>
              <w:rPr>
                <w:rFonts w:ascii="Verdana" w:hAnsi="Verdana" w:cs="Tahoma"/>
                <w:sz w:val="16"/>
                <w:szCs w:val="16"/>
              </w:rPr>
            </w:pPr>
          </w:p>
        </w:tc>
      </w:tr>
      <w:tr w:rsidR="00C96EE8" w:rsidRPr="00957197" w:rsidTr="00B86C6B">
        <w:trPr>
          <w:trHeight w:val="151"/>
        </w:trPr>
        <w:tc>
          <w:tcPr>
            <w:tcW w:w="1856" w:type="dxa"/>
            <w:tcMar>
              <w:top w:w="85" w:type="dxa"/>
              <w:bottom w:w="85" w:type="dxa"/>
            </w:tcMar>
          </w:tcPr>
          <w:p w:rsidR="00C96EE8" w:rsidRPr="0055765D" w:rsidRDefault="00C96EE8" w:rsidP="00C96EE8">
            <w:pPr>
              <w:rPr>
                <w:rFonts w:ascii="Verdana" w:hAnsi="Verdana" w:cs="Tahoma"/>
                <w:b/>
                <w:bCs/>
                <w:sz w:val="16"/>
                <w:szCs w:val="16"/>
              </w:rPr>
            </w:pPr>
            <w:r>
              <w:rPr>
                <w:rFonts w:ascii="Verdana" w:hAnsi="Verdana"/>
                <w:b/>
                <w:sz w:val="16"/>
              </w:rPr>
              <w:lastRenderedPageBreak/>
              <w:t xml:space="preserve">Kontaminácia spôsobená počas pridávania katalyzátora </w:t>
            </w:r>
          </w:p>
          <w:p w:rsidR="00C96EE8" w:rsidRPr="0055765D" w:rsidRDefault="00C96EE8" w:rsidP="00C96EE8">
            <w:pPr>
              <w:rPr>
                <w:rFonts w:ascii="Verdana" w:hAnsi="Verdana" w:cs="Tahoma"/>
                <w:b/>
                <w:bCs/>
                <w:sz w:val="16"/>
                <w:szCs w:val="16"/>
              </w:rPr>
            </w:pPr>
          </w:p>
        </w:tc>
        <w:tc>
          <w:tcPr>
            <w:tcW w:w="636" w:type="dxa"/>
            <w:tcMar>
              <w:top w:w="85" w:type="dxa"/>
              <w:bottom w:w="85" w:type="dxa"/>
            </w:tcMar>
          </w:tcPr>
          <w:p w:rsidR="00C96EE8" w:rsidRPr="0055765D" w:rsidRDefault="00C96EE8" w:rsidP="00C96EE8">
            <w:pPr>
              <w:jc w:val="center"/>
              <w:rPr>
                <w:rFonts w:ascii="Verdana" w:hAnsi="Verdana" w:cs="Tahoma"/>
                <w:sz w:val="16"/>
                <w:szCs w:val="16"/>
              </w:rPr>
            </w:pPr>
          </w:p>
        </w:tc>
        <w:tc>
          <w:tcPr>
            <w:tcW w:w="877" w:type="dxa"/>
            <w:tcMar>
              <w:top w:w="85" w:type="dxa"/>
              <w:bottom w:w="85" w:type="dxa"/>
            </w:tcMar>
          </w:tcPr>
          <w:p w:rsidR="00C96EE8" w:rsidRPr="0055765D" w:rsidRDefault="00C96EE8" w:rsidP="00C96EE8">
            <w:pPr>
              <w:jc w:val="center"/>
              <w:rPr>
                <w:rFonts w:ascii="Verdana" w:hAnsi="Verdana" w:cs="Tahoma"/>
                <w:sz w:val="16"/>
                <w:szCs w:val="16"/>
              </w:rPr>
            </w:pPr>
            <w:r>
              <w:rPr>
                <w:rFonts w:ascii="Verdana" w:hAnsi="Verdana"/>
                <w:sz w:val="16"/>
              </w:rPr>
              <w:t>Nízka</w:t>
            </w:r>
          </w:p>
        </w:tc>
        <w:tc>
          <w:tcPr>
            <w:tcW w:w="1417" w:type="dxa"/>
            <w:tcMar>
              <w:top w:w="85" w:type="dxa"/>
              <w:bottom w:w="85" w:type="dxa"/>
            </w:tcMar>
          </w:tcPr>
          <w:p w:rsidR="00C96EE8" w:rsidRPr="0055765D" w:rsidRDefault="00C96EE8" w:rsidP="00C96EE8">
            <w:pPr>
              <w:jc w:val="center"/>
              <w:rPr>
                <w:rFonts w:ascii="Verdana" w:hAnsi="Verdana" w:cs="Tahoma"/>
                <w:sz w:val="16"/>
                <w:szCs w:val="16"/>
              </w:rPr>
            </w:pPr>
            <w:r>
              <w:rPr>
                <w:rFonts w:ascii="Verdana" w:hAnsi="Verdana"/>
                <w:sz w:val="16"/>
              </w:rPr>
              <w:t>Stredná</w:t>
            </w:r>
          </w:p>
        </w:tc>
        <w:tc>
          <w:tcPr>
            <w:tcW w:w="851" w:type="dxa"/>
            <w:tcMar>
              <w:top w:w="85" w:type="dxa"/>
              <w:bottom w:w="85" w:type="dxa"/>
            </w:tcMar>
          </w:tcPr>
          <w:p w:rsidR="00C96EE8" w:rsidRPr="0055765D" w:rsidRDefault="00C96EE8" w:rsidP="00C96EE8">
            <w:pPr>
              <w:jc w:val="center"/>
              <w:rPr>
                <w:rFonts w:ascii="Verdana" w:hAnsi="Verdana" w:cs="Tahoma"/>
                <w:sz w:val="16"/>
                <w:szCs w:val="16"/>
              </w:rPr>
            </w:pPr>
            <w:r>
              <w:rPr>
                <w:rFonts w:ascii="Verdana" w:hAnsi="Verdana"/>
                <w:sz w:val="16"/>
              </w:rPr>
              <w:t>2</w:t>
            </w:r>
          </w:p>
        </w:tc>
        <w:tc>
          <w:tcPr>
            <w:tcW w:w="2524" w:type="dxa"/>
            <w:tcMar>
              <w:top w:w="85" w:type="dxa"/>
              <w:bottom w:w="85" w:type="dxa"/>
            </w:tcMar>
          </w:tcPr>
          <w:p w:rsidR="00C96EE8" w:rsidRPr="0055765D" w:rsidRDefault="00C96EE8">
            <w:pPr>
              <w:rPr>
                <w:rFonts w:ascii="Verdana" w:hAnsi="Verdana" w:cs="Tahoma"/>
                <w:sz w:val="16"/>
                <w:szCs w:val="16"/>
              </w:rPr>
            </w:pPr>
            <w:r>
              <w:rPr>
                <w:rFonts w:ascii="Verdana" w:hAnsi="Verdana"/>
                <w:sz w:val="16"/>
              </w:rPr>
              <w:t>Nežiaduce látky v katalyzátore.</w:t>
            </w:r>
          </w:p>
        </w:tc>
        <w:tc>
          <w:tcPr>
            <w:tcW w:w="1870" w:type="dxa"/>
            <w:tcMar>
              <w:top w:w="85" w:type="dxa"/>
              <w:bottom w:w="85" w:type="dxa"/>
            </w:tcMar>
          </w:tcPr>
          <w:p w:rsidR="00C96EE8" w:rsidRPr="0055765D" w:rsidRDefault="00C96EE8" w:rsidP="00C96EE8">
            <w:pPr>
              <w:rPr>
                <w:rFonts w:ascii="Verdana" w:hAnsi="Verdana" w:cs="Tahoma"/>
                <w:sz w:val="16"/>
                <w:szCs w:val="16"/>
              </w:rPr>
            </w:pPr>
          </w:p>
        </w:tc>
        <w:tc>
          <w:tcPr>
            <w:tcW w:w="2551" w:type="dxa"/>
            <w:tcMar>
              <w:top w:w="85" w:type="dxa"/>
              <w:bottom w:w="85" w:type="dxa"/>
            </w:tcMar>
          </w:tcPr>
          <w:p w:rsidR="00C96EE8" w:rsidRPr="0055765D" w:rsidRDefault="00C96EE8" w:rsidP="00C96EE8">
            <w:pPr>
              <w:widowControl w:val="0"/>
              <w:rPr>
                <w:rFonts w:ascii="Verdana" w:hAnsi="Verdana" w:cs="Tahoma"/>
                <w:iCs/>
                <w:sz w:val="16"/>
                <w:szCs w:val="16"/>
              </w:rPr>
            </w:pPr>
            <w:r>
              <w:rPr>
                <w:rFonts w:ascii="Verdana" w:hAnsi="Verdana"/>
                <w:sz w:val="16"/>
              </w:rPr>
              <w:t xml:space="preserve">Používajte katalyzátor vhodnej kvality. </w:t>
            </w:r>
          </w:p>
          <w:p w:rsidR="00C96EE8" w:rsidRPr="0055765D" w:rsidRDefault="00C96EE8" w:rsidP="00C96EE8">
            <w:pPr>
              <w:widowControl w:val="0"/>
              <w:rPr>
                <w:rFonts w:ascii="Verdana" w:hAnsi="Verdana" w:cs="Tahoma"/>
                <w:iCs/>
                <w:sz w:val="16"/>
                <w:szCs w:val="16"/>
              </w:rPr>
            </w:pPr>
          </w:p>
          <w:p w:rsidR="00C96EE8" w:rsidRDefault="00C96EE8" w:rsidP="00C96EE8">
            <w:pPr>
              <w:widowControl w:val="0"/>
              <w:rPr>
                <w:rFonts w:ascii="Verdana" w:hAnsi="Verdana" w:cs="Tahoma"/>
                <w:iCs/>
                <w:sz w:val="16"/>
                <w:szCs w:val="16"/>
              </w:rPr>
            </w:pPr>
            <w:r>
              <w:rPr>
                <w:rFonts w:ascii="Verdana" w:hAnsi="Verdana"/>
                <w:sz w:val="16"/>
              </w:rPr>
              <w:t>Opísané v špecifikácii zákazky.</w:t>
            </w:r>
          </w:p>
          <w:p w:rsidR="00C96EE8" w:rsidRDefault="00C96EE8" w:rsidP="00C96EE8">
            <w:pPr>
              <w:widowControl w:val="0"/>
              <w:rPr>
                <w:rFonts w:ascii="Verdana" w:hAnsi="Verdana" w:cs="Tahoma"/>
                <w:iCs/>
                <w:sz w:val="16"/>
                <w:szCs w:val="16"/>
              </w:rPr>
            </w:pPr>
          </w:p>
          <w:p w:rsidR="00C96EE8" w:rsidRPr="0055765D" w:rsidRDefault="00C96EE8">
            <w:pPr>
              <w:widowControl w:val="0"/>
              <w:rPr>
                <w:rFonts w:ascii="Verdana" w:hAnsi="Verdana" w:cs="Tahoma"/>
                <w:iCs/>
                <w:sz w:val="16"/>
                <w:szCs w:val="16"/>
              </w:rPr>
            </w:pPr>
            <w:r>
              <w:rPr>
                <w:rFonts w:ascii="Verdana" w:hAnsi="Verdana"/>
                <w:sz w:val="16"/>
              </w:rPr>
              <w:t>Online monitorovanie procesu, správne označovanie nádob na chemikálie.</w:t>
            </w:r>
          </w:p>
        </w:tc>
        <w:tc>
          <w:tcPr>
            <w:tcW w:w="2127" w:type="dxa"/>
            <w:tcMar>
              <w:top w:w="85" w:type="dxa"/>
              <w:bottom w:w="85" w:type="dxa"/>
            </w:tcMar>
          </w:tcPr>
          <w:p w:rsidR="00C96EE8" w:rsidRPr="0055765D" w:rsidRDefault="00C96EE8">
            <w:pPr>
              <w:rPr>
                <w:rFonts w:ascii="Verdana" w:hAnsi="Verdana" w:cs="Tahoma"/>
                <w:sz w:val="16"/>
                <w:szCs w:val="16"/>
              </w:rPr>
            </w:pPr>
          </w:p>
        </w:tc>
      </w:tr>
    </w:tbl>
    <w:p w:rsidR="00B86C6B" w:rsidRDefault="00B86C6B" w:rsidP="004E54A8">
      <w:pPr>
        <w:rPr>
          <w:rFonts w:ascii="Verdana" w:hAnsi="Verdana" w:cs="Tahoma"/>
          <w:sz w:val="14"/>
          <w:szCs w:val="14"/>
        </w:rPr>
      </w:pPr>
    </w:p>
    <w:p w:rsidR="00B86C6B" w:rsidRDefault="00B86C6B">
      <w:pPr>
        <w:rPr>
          <w:rFonts w:ascii="Verdana" w:hAnsi="Verdana" w:cs="Tahoma"/>
          <w:sz w:val="14"/>
          <w:szCs w:val="14"/>
        </w:rPr>
      </w:pPr>
      <w:r>
        <w:br w:type="page"/>
      </w:r>
    </w:p>
    <w:p w:rsidR="004E54A8" w:rsidRPr="00E67C19" w:rsidRDefault="004E54A8" w:rsidP="004E54A8">
      <w:pPr>
        <w:rPr>
          <w:rFonts w:ascii="Verdana" w:hAnsi="Verdana" w:cs="Tahoma"/>
          <w:sz w:val="14"/>
          <w:szCs w:val="14"/>
        </w:rPr>
      </w:pPr>
    </w:p>
    <w:p w:rsidR="004E54A8" w:rsidRPr="00E67C19" w:rsidRDefault="004E54A8" w:rsidP="004E54A8">
      <w:pPr>
        <w:rPr>
          <w:rFonts w:ascii="Verdana" w:hAnsi="Verdana" w:cs="Tahoma"/>
          <w:sz w:val="14"/>
          <w:szCs w:val="14"/>
        </w:rPr>
      </w:pPr>
    </w:p>
    <w:p w:rsidR="004E54A8" w:rsidRPr="00E67C19" w:rsidRDefault="004E54A8" w:rsidP="004E54A8">
      <w:pPr>
        <w:rPr>
          <w:rFonts w:ascii="Verdana" w:hAnsi="Verdana" w:cs="Tahoma"/>
          <w:sz w:val="14"/>
          <w:szCs w:val="1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5"/>
        <w:gridCol w:w="642"/>
        <w:gridCol w:w="993"/>
        <w:gridCol w:w="1418"/>
        <w:gridCol w:w="850"/>
        <w:gridCol w:w="2410"/>
        <w:gridCol w:w="2268"/>
        <w:gridCol w:w="2126"/>
        <w:gridCol w:w="1985"/>
      </w:tblGrid>
      <w:tr w:rsidR="00C724B8" w:rsidRPr="00957197" w:rsidTr="003E010C">
        <w:trPr>
          <w:trHeight w:val="482"/>
        </w:trPr>
        <w:tc>
          <w:tcPr>
            <w:tcW w:w="4928" w:type="dxa"/>
            <w:gridSpan w:val="4"/>
            <w:tcBorders>
              <w:bottom w:val="single" w:sz="4" w:space="0" w:color="auto"/>
            </w:tcBorders>
            <w:shd w:val="clear" w:color="auto" w:fill="0DA72A"/>
            <w:tcMar>
              <w:top w:w="57" w:type="dxa"/>
              <w:bottom w:w="57" w:type="dxa"/>
            </w:tcMar>
            <w:vAlign w:val="center"/>
          </w:tcPr>
          <w:p w:rsidR="00C724B8" w:rsidRPr="00C724B8" w:rsidRDefault="00E80F73" w:rsidP="00C724B8">
            <w:pPr>
              <w:widowControl w:val="0"/>
              <w:spacing w:before="20" w:after="20"/>
              <w:ind w:left="85" w:right="85"/>
              <w:rPr>
                <w:rFonts w:ascii="Verdana" w:hAnsi="Verdana"/>
                <w:b/>
                <w:color w:val="FFFFFF"/>
                <w:sz w:val="32"/>
                <w:szCs w:val="32"/>
              </w:rPr>
            </w:pPr>
            <w:r>
              <w:rPr>
                <w:rFonts w:ascii="Verdana" w:hAnsi="Verdana"/>
                <w:b/>
                <w:color w:val="FFFFFF"/>
                <w:sz w:val="32"/>
              </w:rPr>
              <w:t>8. Prístup založený na rizikách, pokiaľ ide o glycerín</w:t>
            </w:r>
          </w:p>
          <w:p w:rsidR="00C724B8" w:rsidRPr="00957197" w:rsidRDefault="00C724B8" w:rsidP="004E54A8">
            <w:pPr>
              <w:widowControl w:val="0"/>
              <w:spacing w:before="20" w:after="20"/>
              <w:jc w:val="right"/>
              <w:rPr>
                <w:rFonts w:ascii="Verdana" w:hAnsi="Verdana" w:cs="Tahoma"/>
                <w:b/>
                <w:bCs/>
                <w:color w:val="FFFFFF"/>
                <w:sz w:val="28"/>
                <w:szCs w:val="28"/>
              </w:rPr>
            </w:pPr>
          </w:p>
        </w:tc>
        <w:tc>
          <w:tcPr>
            <w:tcW w:w="9639" w:type="dxa"/>
            <w:gridSpan w:val="5"/>
            <w:tcBorders>
              <w:left w:val="nil"/>
              <w:bottom w:val="single" w:sz="4" w:space="0" w:color="auto"/>
            </w:tcBorders>
            <w:shd w:val="clear" w:color="auto" w:fill="0DA72A"/>
            <w:tcMar>
              <w:top w:w="57" w:type="dxa"/>
              <w:bottom w:w="57" w:type="dxa"/>
            </w:tcMar>
            <w:vAlign w:val="center"/>
          </w:tcPr>
          <w:p w:rsidR="00C724B8" w:rsidRPr="00957197" w:rsidRDefault="00C724B8" w:rsidP="004E54A8">
            <w:pPr>
              <w:widowControl w:val="0"/>
              <w:rPr>
                <w:rFonts w:ascii="Verdana" w:hAnsi="Verdana" w:cs="Tahoma"/>
                <w:b/>
                <w:color w:val="FFFFFF"/>
                <w:sz w:val="28"/>
                <w:szCs w:val="28"/>
              </w:rPr>
            </w:pPr>
            <w:r>
              <w:rPr>
                <w:rFonts w:ascii="Verdana" w:hAnsi="Verdana"/>
                <w:b/>
                <w:color w:val="FFFFFF"/>
                <w:sz w:val="28"/>
              </w:rPr>
              <w:t>5. Stupeň 2 z 3 – Transesterifikácia (oddeľovanie)</w:t>
            </w:r>
          </w:p>
        </w:tc>
      </w:tr>
      <w:tr w:rsidR="00B86C6B" w:rsidRPr="00957197" w:rsidTr="003E010C">
        <w:trPr>
          <w:trHeight w:val="993"/>
        </w:trPr>
        <w:tc>
          <w:tcPr>
            <w:tcW w:w="1875"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rPr>
                <w:rFonts w:ascii="Verdana" w:hAnsi="Verdana" w:cs="Tahoma"/>
                <w:b/>
                <w:bCs/>
                <w:color w:val="FFFFFF"/>
                <w:sz w:val="14"/>
                <w:szCs w:val="14"/>
              </w:rPr>
            </w:pPr>
            <w:r>
              <w:rPr>
                <w:rFonts w:ascii="Verdana" w:hAnsi="Verdana"/>
                <w:b/>
                <w:color w:val="FFFFFF"/>
                <w:sz w:val="14"/>
              </w:rPr>
              <w:t xml:space="preserve">NEBEZPEČENSTVO </w:t>
            </w:r>
          </w:p>
        </w:tc>
        <w:tc>
          <w:tcPr>
            <w:tcW w:w="642"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KATEGÓRIA </w:t>
            </w:r>
          </w:p>
        </w:tc>
        <w:tc>
          <w:tcPr>
            <w:tcW w:w="993"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PRAVDEPODOBNOSŤ </w:t>
            </w:r>
          </w:p>
        </w:tc>
        <w:tc>
          <w:tcPr>
            <w:tcW w:w="1418"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ZÁVAŽNOSŤ </w:t>
            </w:r>
          </w:p>
        </w:tc>
        <w:tc>
          <w:tcPr>
            <w:tcW w:w="850"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TRIEDA RIZIKA </w:t>
            </w:r>
          </w:p>
        </w:tc>
        <w:tc>
          <w:tcPr>
            <w:tcW w:w="2410"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ZDÔVODNENIE</w:t>
            </w:r>
          </w:p>
        </w:tc>
        <w:tc>
          <w:tcPr>
            <w:tcW w:w="2268"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PRÁVNE PREDPISY, ODVETVOVÉ NORMY A/ALEBO ZMLUVNÉ PODMIENKY </w:t>
            </w:r>
          </w:p>
        </w:tc>
        <w:tc>
          <w:tcPr>
            <w:tcW w:w="2126"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KONTROLNÉ OPATRENIE  </w:t>
            </w:r>
          </w:p>
        </w:tc>
        <w:tc>
          <w:tcPr>
            <w:tcW w:w="1985"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color w:val="FFFFFF"/>
                <w:sz w:val="14"/>
                <w:szCs w:val="14"/>
              </w:rPr>
            </w:pPr>
            <w:r>
              <w:rPr>
                <w:rFonts w:ascii="Verdana" w:hAnsi="Verdana"/>
                <w:b/>
                <w:color w:val="FFFFFF"/>
                <w:sz w:val="14"/>
              </w:rPr>
              <w:t xml:space="preserve">POZNÁMKY </w:t>
            </w:r>
          </w:p>
        </w:tc>
      </w:tr>
      <w:tr w:rsidR="00B86C6B" w:rsidRPr="00957197" w:rsidTr="000C7703">
        <w:trPr>
          <w:trHeight w:val="357"/>
        </w:trPr>
        <w:tc>
          <w:tcPr>
            <w:tcW w:w="1875" w:type="dxa"/>
            <w:tcMar>
              <w:top w:w="85" w:type="dxa"/>
              <w:bottom w:w="85" w:type="dxa"/>
            </w:tcMar>
          </w:tcPr>
          <w:p w:rsidR="00F81C3B" w:rsidRPr="0055765D" w:rsidRDefault="00F81C3B" w:rsidP="004E54A8">
            <w:pPr>
              <w:widowControl w:val="0"/>
              <w:rPr>
                <w:rFonts w:ascii="Verdana" w:hAnsi="Verdana" w:cs="Tahoma"/>
                <w:b/>
                <w:bCs/>
                <w:sz w:val="16"/>
                <w:szCs w:val="16"/>
              </w:rPr>
            </w:pPr>
          </w:p>
          <w:p w:rsidR="00B86C6B" w:rsidRPr="0055765D" w:rsidRDefault="00B86C6B" w:rsidP="009A2121">
            <w:pPr>
              <w:widowControl w:val="0"/>
              <w:rPr>
                <w:rFonts w:ascii="Verdana" w:hAnsi="Verdana" w:cs="Tahoma"/>
                <w:b/>
                <w:bCs/>
                <w:sz w:val="16"/>
                <w:szCs w:val="16"/>
              </w:rPr>
            </w:pPr>
            <w:r>
              <w:rPr>
                <w:rFonts w:ascii="Verdana" w:hAnsi="Verdana"/>
                <w:b/>
                <w:sz w:val="16"/>
              </w:rPr>
              <w:t>Metylester, ktorý ostáva v glyceríne</w:t>
            </w:r>
          </w:p>
        </w:tc>
        <w:tc>
          <w:tcPr>
            <w:tcW w:w="642" w:type="dxa"/>
            <w:tcMar>
              <w:top w:w="85" w:type="dxa"/>
              <w:bottom w:w="85" w:type="dxa"/>
            </w:tcMar>
          </w:tcPr>
          <w:p w:rsidR="00B86C6B" w:rsidRDefault="00B86C6B" w:rsidP="004E54A8">
            <w:pPr>
              <w:widowControl w:val="0"/>
              <w:jc w:val="center"/>
              <w:rPr>
                <w:rFonts w:ascii="Verdana" w:hAnsi="Verdana" w:cs="Tahoma"/>
                <w:sz w:val="16"/>
                <w:szCs w:val="16"/>
              </w:rPr>
            </w:pPr>
          </w:p>
          <w:p w:rsidR="000C7703" w:rsidRPr="0055765D" w:rsidRDefault="000C7703" w:rsidP="004E54A8">
            <w:pPr>
              <w:widowControl w:val="0"/>
              <w:jc w:val="center"/>
              <w:rPr>
                <w:rFonts w:ascii="Verdana" w:hAnsi="Verdana" w:cs="Tahoma"/>
                <w:sz w:val="16"/>
                <w:szCs w:val="16"/>
              </w:rPr>
            </w:pPr>
            <w:r>
              <w:rPr>
                <w:rFonts w:ascii="Verdana" w:hAnsi="Verdana"/>
                <w:sz w:val="16"/>
              </w:rPr>
              <w:t>CH</w:t>
            </w:r>
          </w:p>
        </w:tc>
        <w:tc>
          <w:tcPr>
            <w:tcW w:w="993" w:type="dxa"/>
            <w:tcMar>
              <w:top w:w="85" w:type="dxa"/>
              <w:bottom w:w="85" w:type="dxa"/>
            </w:tcMar>
          </w:tcPr>
          <w:p w:rsidR="00F81C3B" w:rsidRPr="0055765D" w:rsidRDefault="00F81C3B" w:rsidP="004E54A8">
            <w:pPr>
              <w:widowControl w:val="0"/>
              <w:jc w:val="center"/>
              <w:rPr>
                <w:rFonts w:ascii="Verdana" w:hAnsi="Verdana" w:cs="Tahoma"/>
                <w:sz w:val="16"/>
                <w:szCs w:val="16"/>
              </w:rPr>
            </w:pPr>
          </w:p>
          <w:p w:rsidR="00B86C6B" w:rsidRPr="0055765D" w:rsidRDefault="009A2121" w:rsidP="000C7703">
            <w:pPr>
              <w:widowControl w:val="0"/>
              <w:jc w:val="center"/>
              <w:rPr>
                <w:rFonts w:ascii="Verdana" w:hAnsi="Verdana" w:cs="Tahoma"/>
                <w:sz w:val="16"/>
                <w:szCs w:val="16"/>
              </w:rPr>
            </w:pPr>
            <w:r>
              <w:rPr>
                <w:rFonts w:ascii="Verdana" w:hAnsi="Verdana"/>
                <w:sz w:val="16"/>
              </w:rPr>
              <w:t xml:space="preserve"> Nízka</w:t>
            </w:r>
          </w:p>
        </w:tc>
        <w:tc>
          <w:tcPr>
            <w:tcW w:w="1418" w:type="dxa"/>
            <w:tcMar>
              <w:top w:w="85" w:type="dxa"/>
              <w:bottom w:w="85" w:type="dxa"/>
            </w:tcMar>
          </w:tcPr>
          <w:p w:rsidR="00F81C3B" w:rsidRPr="0055765D" w:rsidRDefault="00F81C3B" w:rsidP="004E54A8">
            <w:pPr>
              <w:widowControl w:val="0"/>
              <w:jc w:val="center"/>
              <w:rPr>
                <w:rFonts w:ascii="Verdana" w:hAnsi="Verdana" w:cs="Tahoma"/>
                <w:sz w:val="16"/>
                <w:szCs w:val="16"/>
              </w:rPr>
            </w:pPr>
          </w:p>
          <w:p w:rsidR="00B86C6B" w:rsidRPr="0055765D" w:rsidRDefault="00B86C6B" w:rsidP="004E54A8">
            <w:pPr>
              <w:widowControl w:val="0"/>
              <w:jc w:val="center"/>
              <w:rPr>
                <w:rFonts w:ascii="Verdana" w:hAnsi="Verdana" w:cs="Tahoma"/>
                <w:sz w:val="16"/>
                <w:szCs w:val="16"/>
              </w:rPr>
            </w:pPr>
            <w:r>
              <w:rPr>
                <w:rFonts w:ascii="Verdana" w:hAnsi="Verdana"/>
                <w:sz w:val="16"/>
              </w:rPr>
              <w:t>Vysoká</w:t>
            </w:r>
          </w:p>
        </w:tc>
        <w:tc>
          <w:tcPr>
            <w:tcW w:w="850" w:type="dxa"/>
            <w:shd w:val="clear" w:color="auto" w:fill="FFC000"/>
            <w:tcMar>
              <w:top w:w="85" w:type="dxa"/>
              <w:bottom w:w="85" w:type="dxa"/>
            </w:tcMar>
          </w:tcPr>
          <w:p w:rsidR="00F81C3B" w:rsidRPr="0055765D" w:rsidRDefault="00F81C3B" w:rsidP="004E54A8">
            <w:pPr>
              <w:widowControl w:val="0"/>
              <w:jc w:val="center"/>
              <w:rPr>
                <w:rFonts w:ascii="Verdana" w:hAnsi="Verdana" w:cs="Tahoma"/>
                <w:sz w:val="16"/>
                <w:szCs w:val="16"/>
              </w:rPr>
            </w:pPr>
          </w:p>
          <w:p w:rsidR="00B86C6B" w:rsidRPr="0055765D" w:rsidRDefault="009A2121" w:rsidP="004E54A8">
            <w:pPr>
              <w:widowControl w:val="0"/>
              <w:jc w:val="center"/>
              <w:rPr>
                <w:rFonts w:ascii="Verdana" w:hAnsi="Verdana" w:cs="Tahoma"/>
                <w:sz w:val="16"/>
                <w:szCs w:val="16"/>
              </w:rPr>
            </w:pPr>
            <w:r>
              <w:rPr>
                <w:rFonts w:ascii="Verdana" w:hAnsi="Verdana"/>
                <w:sz w:val="16"/>
              </w:rPr>
              <w:t xml:space="preserve"> 3 </w:t>
            </w:r>
          </w:p>
        </w:tc>
        <w:tc>
          <w:tcPr>
            <w:tcW w:w="2410" w:type="dxa"/>
            <w:tcMar>
              <w:top w:w="85" w:type="dxa"/>
              <w:bottom w:w="85" w:type="dxa"/>
            </w:tcMar>
          </w:tcPr>
          <w:p w:rsidR="00F81C3B" w:rsidRPr="0055765D" w:rsidRDefault="00F81C3B" w:rsidP="005E640C">
            <w:pPr>
              <w:widowControl w:val="0"/>
              <w:rPr>
                <w:rFonts w:ascii="Verdana" w:hAnsi="Verdana" w:cs="Tahoma"/>
                <w:sz w:val="16"/>
                <w:szCs w:val="16"/>
              </w:rPr>
            </w:pPr>
          </w:p>
          <w:p w:rsidR="00B86C6B" w:rsidRPr="0055765D" w:rsidRDefault="00B86C6B" w:rsidP="005E640C">
            <w:pPr>
              <w:widowControl w:val="0"/>
              <w:rPr>
                <w:rFonts w:ascii="Verdana" w:hAnsi="Verdana" w:cs="Tahoma"/>
                <w:sz w:val="16"/>
                <w:szCs w:val="16"/>
              </w:rPr>
            </w:pPr>
            <w:r>
              <w:rPr>
                <w:rFonts w:ascii="Verdana" w:hAnsi="Verdana"/>
                <w:sz w:val="16"/>
              </w:rPr>
              <w:t>Oddelenie bionafty od vedľajších produktov – stupeň 1</w:t>
            </w:r>
          </w:p>
        </w:tc>
        <w:tc>
          <w:tcPr>
            <w:tcW w:w="2268" w:type="dxa"/>
            <w:tcMar>
              <w:top w:w="85" w:type="dxa"/>
              <w:bottom w:w="85" w:type="dxa"/>
            </w:tcMar>
          </w:tcPr>
          <w:p w:rsidR="00B86C6B" w:rsidRPr="0055765D" w:rsidRDefault="00AB5105" w:rsidP="002A4F56">
            <w:pPr>
              <w:widowControl w:val="0"/>
              <w:rPr>
                <w:rFonts w:ascii="Verdana" w:hAnsi="Verdana" w:cs="Tahoma"/>
                <w:sz w:val="16"/>
                <w:szCs w:val="16"/>
              </w:rPr>
            </w:pPr>
            <w:r>
              <w:rPr>
                <w:rFonts w:ascii="Verdana" w:hAnsi="Verdana"/>
                <w:sz w:val="16"/>
              </w:rPr>
              <w:t>V nariadení (EÚ) č. 68/2013 sa uvádza: Môže obsahovať až do 4 % organickej hmoty bez obsahu glycerínu pozostávajúcej z metylesterov mastných kyselín, etylesterov mastných kyselín, voľných mastných kyselín a glyceridov.</w:t>
            </w:r>
          </w:p>
        </w:tc>
        <w:tc>
          <w:tcPr>
            <w:tcW w:w="2126" w:type="dxa"/>
            <w:tcMar>
              <w:top w:w="85" w:type="dxa"/>
              <w:bottom w:w="85" w:type="dxa"/>
            </w:tcMar>
          </w:tcPr>
          <w:p w:rsidR="00F81C3B" w:rsidRPr="0055765D" w:rsidRDefault="00F81C3B" w:rsidP="004E54A8">
            <w:pPr>
              <w:rPr>
                <w:rFonts w:ascii="Verdana" w:hAnsi="Verdana" w:cs="Tahoma"/>
                <w:sz w:val="16"/>
                <w:szCs w:val="16"/>
              </w:rPr>
            </w:pPr>
          </w:p>
          <w:p w:rsidR="00B86C6B" w:rsidRPr="0055765D" w:rsidRDefault="00B86C6B" w:rsidP="004E54A8">
            <w:pPr>
              <w:rPr>
                <w:rFonts w:ascii="Verdana" w:hAnsi="Verdana" w:cs="Tahoma"/>
                <w:sz w:val="16"/>
                <w:szCs w:val="16"/>
              </w:rPr>
            </w:pPr>
            <w:r>
              <w:rPr>
                <w:rFonts w:ascii="Verdana" w:hAnsi="Verdana"/>
                <w:sz w:val="16"/>
              </w:rPr>
              <w:t>Plán monitorovania a následné opatrenia v súvislosti s procesom.</w:t>
            </w:r>
          </w:p>
        </w:tc>
        <w:tc>
          <w:tcPr>
            <w:tcW w:w="1985" w:type="dxa"/>
            <w:tcMar>
              <w:top w:w="85" w:type="dxa"/>
              <w:bottom w:w="85" w:type="dxa"/>
            </w:tcMar>
          </w:tcPr>
          <w:p w:rsidR="00B86C6B" w:rsidRPr="0055765D" w:rsidRDefault="00B86C6B" w:rsidP="004E54A8">
            <w:pPr>
              <w:widowControl w:val="0"/>
              <w:rPr>
                <w:rFonts w:ascii="Verdana" w:hAnsi="Verdana" w:cs="Tahoma"/>
                <w:sz w:val="16"/>
                <w:szCs w:val="16"/>
              </w:rPr>
            </w:pPr>
          </w:p>
        </w:tc>
      </w:tr>
      <w:tr w:rsidR="009A2121" w:rsidRPr="00957197" w:rsidTr="000C7703">
        <w:trPr>
          <w:trHeight w:val="357"/>
        </w:trPr>
        <w:tc>
          <w:tcPr>
            <w:tcW w:w="1875" w:type="dxa"/>
            <w:tcBorders>
              <w:bottom w:val="single" w:sz="4" w:space="0" w:color="auto"/>
            </w:tcBorders>
            <w:tcMar>
              <w:top w:w="85" w:type="dxa"/>
              <w:bottom w:w="85" w:type="dxa"/>
            </w:tcMar>
          </w:tcPr>
          <w:p w:rsidR="009A2121" w:rsidRPr="00843954" w:rsidRDefault="009A2121" w:rsidP="004E54A8">
            <w:pPr>
              <w:widowControl w:val="0"/>
              <w:rPr>
                <w:rFonts w:ascii="Verdana" w:hAnsi="Verdana" w:cs="Tahoma"/>
                <w:b/>
                <w:bCs/>
                <w:sz w:val="16"/>
                <w:szCs w:val="16"/>
              </w:rPr>
            </w:pPr>
            <w:r>
              <w:rPr>
                <w:rFonts w:ascii="Verdana" w:hAnsi="Verdana"/>
                <w:b/>
                <w:sz w:val="16"/>
              </w:rPr>
              <w:t>Metanol v surovom glyceríne</w:t>
            </w:r>
          </w:p>
        </w:tc>
        <w:tc>
          <w:tcPr>
            <w:tcW w:w="642" w:type="dxa"/>
            <w:tcBorders>
              <w:bottom w:val="single" w:sz="4" w:space="0" w:color="auto"/>
            </w:tcBorders>
            <w:tcMar>
              <w:top w:w="85" w:type="dxa"/>
              <w:bottom w:w="85" w:type="dxa"/>
            </w:tcMar>
          </w:tcPr>
          <w:p w:rsidR="009A2121" w:rsidRPr="00843954" w:rsidRDefault="000C7703" w:rsidP="004E54A8">
            <w:pPr>
              <w:widowControl w:val="0"/>
              <w:jc w:val="center"/>
              <w:rPr>
                <w:rFonts w:ascii="Verdana" w:hAnsi="Verdana" w:cs="Tahoma"/>
                <w:sz w:val="16"/>
                <w:szCs w:val="16"/>
              </w:rPr>
            </w:pPr>
            <w:r>
              <w:rPr>
                <w:rFonts w:ascii="Verdana" w:hAnsi="Verdana"/>
                <w:sz w:val="16"/>
              </w:rPr>
              <w:t>CH</w:t>
            </w:r>
          </w:p>
        </w:tc>
        <w:tc>
          <w:tcPr>
            <w:tcW w:w="993" w:type="dxa"/>
            <w:tcBorders>
              <w:bottom w:val="single" w:sz="4" w:space="0" w:color="auto"/>
            </w:tcBorders>
            <w:tcMar>
              <w:top w:w="85" w:type="dxa"/>
              <w:bottom w:w="85" w:type="dxa"/>
            </w:tcMar>
          </w:tcPr>
          <w:p w:rsidR="009A2121" w:rsidRPr="00843954" w:rsidRDefault="000C7703" w:rsidP="004E54A8">
            <w:pPr>
              <w:widowControl w:val="0"/>
              <w:jc w:val="center"/>
              <w:rPr>
                <w:rFonts w:ascii="Verdana" w:hAnsi="Verdana" w:cs="Tahoma"/>
                <w:sz w:val="16"/>
                <w:szCs w:val="16"/>
              </w:rPr>
            </w:pPr>
            <w:r>
              <w:rPr>
                <w:rFonts w:ascii="Verdana" w:hAnsi="Verdana"/>
                <w:sz w:val="16"/>
              </w:rPr>
              <w:t>Stredná</w:t>
            </w:r>
          </w:p>
        </w:tc>
        <w:tc>
          <w:tcPr>
            <w:tcW w:w="1418" w:type="dxa"/>
            <w:tcBorders>
              <w:bottom w:val="single" w:sz="4" w:space="0" w:color="auto"/>
            </w:tcBorders>
            <w:tcMar>
              <w:top w:w="85" w:type="dxa"/>
              <w:bottom w:w="85" w:type="dxa"/>
            </w:tcMar>
          </w:tcPr>
          <w:p w:rsidR="009A2121" w:rsidRPr="00843954" w:rsidRDefault="000C7703" w:rsidP="004E54A8">
            <w:pPr>
              <w:widowControl w:val="0"/>
              <w:jc w:val="center"/>
              <w:rPr>
                <w:rFonts w:ascii="Verdana" w:hAnsi="Verdana" w:cs="Tahoma"/>
                <w:sz w:val="16"/>
                <w:szCs w:val="16"/>
              </w:rPr>
            </w:pPr>
            <w:r>
              <w:rPr>
                <w:rFonts w:ascii="Verdana" w:hAnsi="Verdana"/>
                <w:sz w:val="16"/>
              </w:rPr>
              <w:t>Vysoká</w:t>
            </w:r>
          </w:p>
        </w:tc>
        <w:tc>
          <w:tcPr>
            <w:tcW w:w="850" w:type="dxa"/>
            <w:tcBorders>
              <w:bottom w:val="single" w:sz="4" w:space="0" w:color="auto"/>
            </w:tcBorders>
            <w:shd w:val="clear" w:color="auto" w:fill="FF0000"/>
            <w:tcMar>
              <w:top w:w="85" w:type="dxa"/>
              <w:bottom w:w="85" w:type="dxa"/>
            </w:tcMar>
          </w:tcPr>
          <w:p w:rsidR="009A2121" w:rsidRPr="00843954" w:rsidRDefault="000C7703" w:rsidP="004E54A8">
            <w:pPr>
              <w:widowControl w:val="0"/>
              <w:jc w:val="center"/>
              <w:rPr>
                <w:rFonts w:ascii="Verdana" w:hAnsi="Verdana" w:cs="Tahoma"/>
                <w:sz w:val="16"/>
                <w:szCs w:val="16"/>
              </w:rPr>
            </w:pPr>
            <w:r>
              <w:rPr>
                <w:rFonts w:ascii="Verdana" w:hAnsi="Verdana"/>
                <w:sz w:val="16"/>
              </w:rPr>
              <w:t>4</w:t>
            </w:r>
          </w:p>
        </w:tc>
        <w:tc>
          <w:tcPr>
            <w:tcW w:w="2410" w:type="dxa"/>
            <w:tcBorders>
              <w:bottom w:val="single" w:sz="4" w:space="0" w:color="auto"/>
            </w:tcBorders>
            <w:tcMar>
              <w:top w:w="85" w:type="dxa"/>
              <w:bottom w:w="85" w:type="dxa"/>
            </w:tcMar>
          </w:tcPr>
          <w:p w:rsidR="009A2121" w:rsidRPr="00843954" w:rsidRDefault="009A2121" w:rsidP="005E640C">
            <w:pPr>
              <w:widowControl w:val="0"/>
              <w:rPr>
                <w:rFonts w:ascii="Verdana" w:hAnsi="Verdana" w:cs="Tahoma"/>
                <w:sz w:val="16"/>
                <w:szCs w:val="16"/>
              </w:rPr>
            </w:pPr>
          </w:p>
        </w:tc>
        <w:tc>
          <w:tcPr>
            <w:tcW w:w="2268" w:type="dxa"/>
            <w:tcBorders>
              <w:bottom w:val="single" w:sz="4" w:space="0" w:color="auto"/>
            </w:tcBorders>
            <w:tcMar>
              <w:top w:w="85" w:type="dxa"/>
              <w:bottom w:w="85" w:type="dxa"/>
            </w:tcMar>
          </w:tcPr>
          <w:p w:rsidR="009A2121" w:rsidRPr="00843954" w:rsidRDefault="004C758F" w:rsidP="009A2121">
            <w:pPr>
              <w:widowControl w:val="0"/>
              <w:rPr>
                <w:rFonts w:ascii="Verdana" w:hAnsi="Verdana" w:cs="Tahoma"/>
                <w:sz w:val="16"/>
                <w:szCs w:val="16"/>
              </w:rPr>
            </w:pPr>
            <w:r>
              <w:rPr>
                <w:rFonts w:ascii="Verdana" w:hAnsi="Verdana"/>
                <w:sz w:val="16"/>
              </w:rPr>
              <w:t>V nariadení (EÚ) č. 68/2013 sa uvádza: Môže obsahovať až do 0,5 % metanolu.</w:t>
            </w:r>
          </w:p>
        </w:tc>
        <w:tc>
          <w:tcPr>
            <w:tcW w:w="2126" w:type="dxa"/>
            <w:tcBorders>
              <w:bottom w:val="single" w:sz="4" w:space="0" w:color="auto"/>
            </w:tcBorders>
            <w:tcMar>
              <w:top w:w="85" w:type="dxa"/>
              <w:bottom w:w="85" w:type="dxa"/>
            </w:tcMar>
          </w:tcPr>
          <w:p w:rsidR="009A2121" w:rsidRPr="00843954" w:rsidRDefault="00C96EE8">
            <w:pPr>
              <w:rPr>
                <w:rFonts w:ascii="Verdana" w:hAnsi="Verdana" w:cs="Tahoma"/>
                <w:sz w:val="16"/>
                <w:szCs w:val="16"/>
              </w:rPr>
            </w:pPr>
            <w:r>
              <w:rPr>
                <w:rFonts w:ascii="Verdana" w:hAnsi="Verdana"/>
                <w:sz w:val="16"/>
              </w:rPr>
              <w:t>Regulovanie pomocou parametrov procesu.</w:t>
            </w:r>
          </w:p>
        </w:tc>
        <w:tc>
          <w:tcPr>
            <w:tcW w:w="1985" w:type="dxa"/>
            <w:tcBorders>
              <w:bottom w:val="single" w:sz="4" w:space="0" w:color="auto"/>
            </w:tcBorders>
            <w:tcMar>
              <w:top w:w="85" w:type="dxa"/>
              <w:bottom w:w="85" w:type="dxa"/>
            </w:tcMar>
          </w:tcPr>
          <w:p w:rsidR="009A2121" w:rsidRPr="0055765D" w:rsidRDefault="009A2121" w:rsidP="004E54A8">
            <w:pPr>
              <w:widowControl w:val="0"/>
              <w:rPr>
                <w:rFonts w:ascii="Verdana" w:hAnsi="Verdana" w:cs="Tahoma"/>
                <w:sz w:val="16"/>
                <w:szCs w:val="16"/>
              </w:rPr>
            </w:pPr>
          </w:p>
        </w:tc>
      </w:tr>
    </w:tbl>
    <w:p w:rsidR="004E54A8" w:rsidRPr="00957197" w:rsidRDefault="004E54A8" w:rsidP="004E54A8">
      <w:pPr>
        <w:rPr>
          <w:rFonts w:ascii="Verdana" w:hAnsi="Verdana" w:cs="Tahoma"/>
          <w:sz w:val="14"/>
          <w:szCs w:val="14"/>
        </w:rPr>
      </w:pPr>
    </w:p>
    <w:p w:rsidR="004E54A8" w:rsidRPr="00957197" w:rsidRDefault="004E54A8" w:rsidP="004E54A8">
      <w:pPr>
        <w:rPr>
          <w:rFonts w:ascii="Verdana" w:hAnsi="Verdana" w:cs="Tahoma"/>
          <w:sz w:val="14"/>
          <w:szCs w:val="14"/>
        </w:rPr>
      </w:pPr>
    </w:p>
    <w:p w:rsidR="004E54A8" w:rsidRPr="00957197" w:rsidRDefault="004E54A8" w:rsidP="004E54A8">
      <w:pPr>
        <w:rPr>
          <w:rFonts w:ascii="Verdana" w:hAnsi="Verdana" w:cs="Tahoma"/>
          <w:sz w:val="14"/>
          <w:szCs w:val="14"/>
        </w:rPr>
      </w:pPr>
    </w:p>
    <w:p w:rsidR="004E54A8" w:rsidRPr="00957197" w:rsidRDefault="004E54A8" w:rsidP="004E54A8">
      <w:pPr>
        <w:rPr>
          <w:rFonts w:ascii="Verdana" w:hAnsi="Verdana" w:cs="Tahoma"/>
          <w:sz w:val="14"/>
          <w:szCs w:val="14"/>
        </w:rPr>
      </w:pPr>
      <w:r>
        <w:br w:type="page"/>
      </w:r>
    </w:p>
    <w:p w:rsidR="004E54A8" w:rsidRPr="00957197" w:rsidRDefault="004E54A8" w:rsidP="004E54A8">
      <w:pPr>
        <w:rPr>
          <w:rFonts w:ascii="Verdana" w:hAnsi="Verdana" w:cs="Tahoma"/>
          <w:sz w:val="14"/>
          <w:szCs w:val="1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648"/>
        <w:gridCol w:w="972"/>
        <w:gridCol w:w="1418"/>
        <w:gridCol w:w="850"/>
        <w:gridCol w:w="2301"/>
        <w:gridCol w:w="1952"/>
        <w:gridCol w:w="1984"/>
        <w:gridCol w:w="2675"/>
        <w:gridCol w:w="19"/>
      </w:tblGrid>
      <w:tr w:rsidR="00C724B8" w:rsidRPr="00957197" w:rsidTr="003E010C">
        <w:trPr>
          <w:gridAfter w:val="1"/>
          <w:wAfter w:w="19" w:type="dxa"/>
          <w:trHeight w:val="700"/>
        </w:trPr>
        <w:tc>
          <w:tcPr>
            <w:tcW w:w="4928" w:type="dxa"/>
            <w:gridSpan w:val="4"/>
            <w:tcBorders>
              <w:bottom w:val="single" w:sz="4" w:space="0" w:color="auto"/>
            </w:tcBorders>
            <w:shd w:val="clear" w:color="auto" w:fill="0DA72A"/>
            <w:tcMar>
              <w:top w:w="57" w:type="dxa"/>
              <w:bottom w:w="57" w:type="dxa"/>
            </w:tcMar>
            <w:vAlign w:val="center"/>
          </w:tcPr>
          <w:p w:rsidR="00C724B8" w:rsidRPr="00C724B8" w:rsidRDefault="00E80F73" w:rsidP="00C724B8">
            <w:pPr>
              <w:widowControl w:val="0"/>
              <w:spacing w:before="20" w:after="20"/>
              <w:ind w:left="85" w:right="85"/>
              <w:rPr>
                <w:rFonts w:ascii="Verdana" w:hAnsi="Verdana"/>
                <w:b/>
                <w:color w:val="FFFFFF"/>
                <w:sz w:val="32"/>
                <w:szCs w:val="32"/>
              </w:rPr>
            </w:pPr>
            <w:r>
              <w:rPr>
                <w:rFonts w:ascii="Verdana" w:hAnsi="Verdana"/>
                <w:b/>
                <w:color w:val="FFFFFF"/>
                <w:sz w:val="32"/>
              </w:rPr>
              <w:t>8. Prístup založený na rizikách, pokiaľ ide o glycerín</w:t>
            </w:r>
          </w:p>
          <w:p w:rsidR="00C724B8" w:rsidRPr="00957197" w:rsidRDefault="00C724B8" w:rsidP="004E54A8">
            <w:pPr>
              <w:widowControl w:val="0"/>
              <w:spacing w:before="20" w:after="20"/>
              <w:jc w:val="right"/>
              <w:rPr>
                <w:rFonts w:ascii="Verdana" w:hAnsi="Verdana" w:cs="Tahoma"/>
                <w:b/>
                <w:bCs/>
                <w:color w:val="FFFFFF"/>
                <w:sz w:val="28"/>
                <w:szCs w:val="28"/>
              </w:rPr>
            </w:pPr>
          </w:p>
        </w:tc>
        <w:tc>
          <w:tcPr>
            <w:tcW w:w="9762" w:type="dxa"/>
            <w:gridSpan w:val="5"/>
            <w:tcBorders>
              <w:left w:val="nil"/>
              <w:bottom w:val="single" w:sz="4" w:space="0" w:color="auto"/>
            </w:tcBorders>
            <w:shd w:val="clear" w:color="auto" w:fill="0DA72A"/>
            <w:tcMar>
              <w:top w:w="57" w:type="dxa"/>
              <w:bottom w:w="57" w:type="dxa"/>
            </w:tcMar>
            <w:vAlign w:val="center"/>
          </w:tcPr>
          <w:p w:rsidR="00C724B8" w:rsidRPr="00957197" w:rsidRDefault="00B87D01" w:rsidP="00AE2E62">
            <w:pPr>
              <w:widowControl w:val="0"/>
              <w:rPr>
                <w:rFonts w:ascii="Verdana" w:hAnsi="Verdana" w:cs="Tahoma"/>
                <w:b/>
                <w:color w:val="FFFFFF"/>
                <w:sz w:val="28"/>
                <w:szCs w:val="28"/>
              </w:rPr>
            </w:pPr>
            <w:r>
              <w:rPr>
                <w:rFonts w:ascii="Verdana" w:hAnsi="Verdana"/>
                <w:b/>
                <w:color w:val="FFFFFF"/>
                <w:sz w:val="28"/>
              </w:rPr>
              <w:t>6. Stupeň 3 z 3 – Acidulácia a oddelenie voľných mastných kyselín</w:t>
            </w:r>
          </w:p>
        </w:tc>
      </w:tr>
      <w:tr w:rsidR="00B86C6B" w:rsidRPr="00957197" w:rsidTr="00F029E4">
        <w:trPr>
          <w:trHeight w:val="813"/>
        </w:trPr>
        <w:tc>
          <w:tcPr>
            <w:tcW w:w="1890"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rPr>
                <w:rFonts w:ascii="Verdana" w:hAnsi="Verdana" w:cs="Tahoma"/>
                <w:b/>
                <w:bCs/>
                <w:color w:val="FFFFFF"/>
                <w:sz w:val="14"/>
                <w:szCs w:val="14"/>
              </w:rPr>
            </w:pPr>
            <w:r>
              <w:rPr>
                <w:rFonts w:ascii="Verdana" w:hAnsi="Verdana"/>
                <w:b/>
                <w:color w:val="FFFFFF"/>
                <w:sz w:val="14"/>
              </w:rPr>
              <w:t xml:space="preserve">NEBEZPEČENSTVO </w:t>
            </w:r>
          </w:p>
        </w:tc>
        <w:tc>
          <w:tcPr>
            <w:tcW w:w="648"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KATEGÓRIA </w:t>
            </w:r>
          </w:p>
        </w:tc>
        <w:tc>
          <w:tcPr>
            <w:tcW w:w="972"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PRAVDEPODOBNOSŤ </w:t>
            </w:r>
          </w:p>
        </w:tc>
        <w:tc>
          <w:tcPr>
            <w:tcW w:w="1418"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ZÁVAŽNOSŤ </w:t>
            </w:r>
          </w:p>
        </w:tc>
        <w:tc>
          <w:tcPr>
            <w:tcW w:w="850"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TRIEDA RIZIKA </w:t>
            </w:r>
          </w:p>
        </w:tc>
        <w:tc>
          <w:tcPr>
            <w:tcW w:w="2301"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ZDÔVODNENIE</w:t>
            </w:r>
          </w:p>
        </w:tc>
        <w:tc>
          <w:tcPr>
            <w:tcW w:w="1952" w:type="dxa"/>
            <w:tcBorders>
              <w:bottom w:val="single" w:sz="4" w:space="0" w:color="auto"/>
            </w:tcBorders>
            <w:shd w:val="clear" w:color="auto" w:fill="0DA72A"/>
            <w:tcMar>
              <w:top w:w="28" w:type="dxa"/>
              <w:bottom w:w="28" w:type="dxa"/>
            </w:tcMar>
            <w:vAlign w:val="center"/>
          </w:tcPr>
          <w:p w:rsidR="00B86C6B" w:rsidRPr="00957197" w:rsidRDefault="00B86C6B" w:rsidP="00957197">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PRÁVNE PREDPISY, ODVETVOVÉ NORMY </w:t>
            </w:r>
          </w:p>
        </w:tc>
        <w:tc>
          <w:tcPr>
            <w:tcW w:w="1984"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KONTROLNÉ OPATRENIE  </w:t>
            </w:r>
          </w:p>
        </w:tc>
        <w:tc>
          <w:tcPr>
            <w:tcW w:w="2694" w:type="dxa"/>
            <w:gridSpan w:val="2"/>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color w:val="FFFFFF"/>
                <w:sz w:val="14"/>
                <w:szCs w:val="14"/>
              </w:rPr>
            </w:pPr>
            <w:r>
              <w:rPr>
                <w:rFonts w:ascii="Verdana" w:hAnsi="Verdana"/>
                <w:b/>
                <w:color w:val="FFFFFF"/>
                <w:sz w:val="14"/>
              </w:rPr>
              <w:t xml:space="preserve">POZNÁMKY </w:t>
            </w:r>
          </w:p>
        </w:tc>
      </w:tr>
      <w:tr w:rsidR="00B86C6B" w:rsidRPr="00957197" w:rsidTr="00F029E4">
        <w:trPr>
          <w:trHeight w:val="1035"/>
        </w:trPr>
        <w:tc>
          <w:tcPr>
            <w:tcW w:w="1890" w:type="dxa"/>
            <w:tcBorders>
              <w:bottom w:val="single" w:sz="4" w:space="0" w:color="auto"/>
            </w:tcBorders>
            <w:tcMar>
              <w:top w:w="85" w:type="dxa"/>
              <w:bottom w:w="85" w:type="dxa"/>
            </w:tcMar>
          </w:tcPr>
          <w:p w:rsidR="00B86C6B" w:rsidRPr="00800E2C" w:rsidRDefault="004C758F" w:rsidP="004E54A8">
            <w:pPr>
              <w:widowControl w:val="0"/>
              <w:rPr>
                <w:rFonts w:ascii="Verdana" w:hAnsi="Verdana" w:cs="Tahoma"/>
                <w:b/>
                <w:bCs/>
                <w:sz w:val="16"/>
                <w:szCs w:val="16"/>
              </w:rPr>
            </w:pPr>
            <w:r>
              <w:rPr>
                <w:rFonts w:ascii="Verdana" w:hAnsi="Verdana"/>
                <w:b/>
                <w:sz w:val="16"/>
              </w:rPr>
              <w:t xml:space="preserve">Kontaminanty v technologických pomocných látkach  </w:t>
            </w:r>
          </w:p>
          <w:p w:rsidR="00B86C6B" w:rsidRPr="00800E2C" w:rsidRDefault="00B86C6B" w:rsidP="004E54A8">
            <w:pPr>
              <w:widowControl w:val="0"/>
              <w:rPr>
                <w:rFonts w:ascii="Verdana" w:hAnsi="Verdana" w:cs="Tahoma"/>
                <w:b/>
                <w:bCs/>
                <w:sz w:val="16"/>
                <w:szCs w:val="16"/>
              </w:rPr>
            </w:pPr>
            <w:r>
              <w:rPr>
                <w:rFonts w:ascii="Verdana" w:hAnsi="Verdana"/>
                <w:b/>
                <w:sz w:val="16"/>
              </w:rPr>
              <w:t>(alkalický roztok, kyseliny)</w:t>
            </w:r>
          </w:p>
        </w:tc>
        <w:tc>
          <w:tcPr>
            <w:tcW w:w="648" w:type="dxa"/>
            <w:tcBorders>
              <w:bottom w:val="single" w:sz="4" w:space="0" w:color="auto"/>
            </w:tcBorders>
            <w:tcMar>
              <w:top w:w="85" w:type="dxa"/>
              <w:bottom w:w="85" w:type="dxa"/>
            </w:tcMar>
          </w:tcPr>
          <w:p w:rsidR="00B86C6B" w:rsidRPr="00800E2C" w:rsidRDefault="00B86C6B" w:rsidP="004E54A8">
            <w:pPr>
              <w:widowControl w:val="0"/>
              <w:jc w:val="center"/>
              <w:rPr>
                <w:rFonts w:ascii="Verdana" w:hAnsi="Verdana" w:cs="Tahoma"/>
                <w:sz w:val="16"/>
                <w:szCs w:val="16"/>
              </w:rPr>
            </w:pPr>
            <w:r>
              <w:rPr>
                <w:rFonts w:ascii="Verdana" w:hAnsi="Verdana"/>
                <w:sz w:val="16"/>
              </w:rPr>
              <w:t>CH</w:t>
            </w:r>
          </w:p>
        </w:tc>
        <w:tc>
          <w:tcPr>
            <w:tcW w:w="972" w:type="dxa"/>
            <w:tcBorders>
              <w:bottom w:val="single" w:sz="4" w:space="0" w:color="auto"/>
            </w:tcBorders>
            <w:tcMar>
              <w:top w:w="85" w:type="dxa"/>
              <w:bottom w:w="85" w:type="dxa"/>
            </w:tcMar>
          </w:tcPr>
          <w:p w:rsidR="00B86C6B" w:rsidRPr="00800E2C" w:rsidRDefault="00B86C6B" w:rsidP="00FF185B">
            <w:pPr>
              <w:widowControl w:val="0"/>
              <w:jc w:val="center"/>
              <w:rPr>
                <w:rFonts w:ascii="Verdana" w:hAnsi="Verdana" w:cs="Tahoma"/>
                <w:sz w:val="16"/>
                <w:szCs w:val="16"/>
              </w:rPr>
            </w:pPr>
            <w:r>
              <w:rPr>
                <w:rFonts w:ascii="Verdana" w:hAnsi="Verdana"/>
                <w:sz w:val="16"/>
              </w:rPr>
              <w:t xml:space="preserve"> Nízka</w:t>
            </w:r>
          </w:p>
        </w:tc>
        <w:tc>
          <w:tcPr>
            <w:tcW w:w="1418" w:type="dxa"/>
            <w:tcBorders>
              <w:bottom w:val="single" w:sz="4" w:space="0" w:color="auto"/>
            </w:tcBorders>
            <w:tcMar>
              <w:top w:w="85" w:type="dxa"/>
              <w:bottom w:w="85" w:type="dxa"/>
            </w:tcMar>
          </w:tcPr>
          <w:p w:rsidR="00B86C6B" w:rsidRPr="00800E2C" w:rsidRDefault="00B86C6B" w:rsidP="00FF185B">
            <w:pPr>
              <w:widowControl w:val="0"/>
              <w:jc w:val="center"/>
              <w:rPr>
                <w:rFonts w:ascii="Verdana" w:hAnsi="Verdana" w:cs="Tahoma"/>
                <w:sz w:val="16"/>
                <w:szCs w:val="16"/>
              </w:rPr>
            </w:pPr>
            <w:r>
              <w:rPr>
                <w:rFonts w:ascii="Verdana" w:hAnsi="Verdana"/>
                <w:sz w:val="16"/>
              </w:rPr>
              <w:t xml:space="preserve"> Vysoká</w:t>
            </w:r>
          </w:p>
        </w:tc>
        <w:tc>
          <w:tcPr>
            <w:tcW w:w="850" w:type="dxa"/>
            <w:tcBorders>
              <w:bottom w:val="single" w:sz="4" w:space="0" w:color="auto"/>
            </w:tcBorders>
            <w:shd w:val="clear" w:color="auto" w:fill="FFC000"/>
            <w:tcMar>
              <w:top w:w="85" w:type="dxa"/>
              <w:bottom w:w="85" w:type="dxa"/>
            </w:tcMar>
          </w:tcPr>
          <w:p w:rsidR="00B86C6B" w:rsidRPr="00800E2C" w:rsidRDefault="00B86C6B" w:rsidP="004E54A8">
            <w:pPr>
              <w:widowControl w:val="0"/>
              <w:jc w:val="center"/>
              <w:rPr>
                <w:rFonts w:ascii="Verdana" w:hAnsi="Verdana" w:cs="Tahoma"/>
                <w:sz w:val="16"/>
                <w:szCs w:val="16"/>
              </w:rPr>
            </w:pPr>
            <w:r>
              <w:rPr>
                <w:rFonts w:ascii="Verdana" w:hAnsi="Verdana"/>
                <w:sz w:val="16"/>
              </w:rPr>
              <w:t>3</w:t>
            </w:r>
          </w:p>
        </w:tc>
        <w:tc>
          <w:tcPr>
            <w:tcW w:w="2301" w:type="dxa"/>
            <w:tcBorders>
              <w:bottom w:val="single" w:sz="4" w:space="0" w:color="auto"/>
            </w:tcBorders>
            <w:tcMar>
              <w:top w:w="85" w:type="dxa"/>
              <w:bottom w:w="85" w:type="dxa"/>
            </w:tcMar>
          </w:tcPr>
          <w:p w:rsidR="00B86C6B" w:rsidRPr="00800E2C" w:rsidRDefault="00B86C6B" w:rsidP="004E54A8">
            <w:pPr>
              <w:widowControl w:val="0"/>
              <w:rPr>
                <w:rFonts w:ascii="Verdana" w:hAnsi="Verdana" w:cs="Tahoma"/>
                <w:sz w:val="16"/>
                <w:szCs w:val="16"/>
              </w:rPr>
            </w:pPr>
            <w:r>
              <w:rPr>
                <w:rFonts w:ascii="Verdana" w:hAnsi="Verdana"/>
                <w:sz w:val="16"/>
              </w:rPr>
              <w:t>Technologické pomocné látky prichádzajú do kontaktu s produktom.</w:t>
            </w:r>
          </w:p>
          <w:p w:rsidR="00B86C6B" w:rsidRPr="00800E2C" w:rsidRDefault="00B86C6B" w:rsidP="004E54A8">
            <w:pPr>
              <w:widowControl w:val="0"/>
              <w:rPr>
                <w:rFonts w:ascii="Verdana" w:hAnsi="Verdana" w:cs="Tahoma"/>
                <w:sz w:val="16"/>
                <w:szCs w:val="16"/>
              </w:rPr>
            </w:pPr>
          </w:p>
          <w:p w:rsidR="00B86C6B" w:rsidRPr="00800E2C" w:rsidRDefault="00B86C6B" w:rsidP="004E54A8">
            <w:pPr>
              <w:widowControl w:val="0"/>
              <w:rPr>
                <w:rFonts w:ascii="Verdana" w:hAnsi="Verdana" w:cs="Tahoma"/>
                <w:sz w:val="16"/>
                <w:szCs w:val="16"/>
              </w:rPr>
            </w:pPr>
            <w:r>
              <w:rPr>
                <w:rFonts w:ascii="Verdana" w:hAnsi="Verdana"/>
                <w:sz w:val="16"/>
              </w:rPr>
              <w:t>Riziko predávkovania.</w:t>
            </w:r>
          </w:p>
          <w:p w:rsidR="00B86C6B" w:rsidRPr="00800E2C" w:rsidRDefault="00B86C6B" w:rsidP="004E54A8">
            <w:pPr>
              <w:widowControl w:val="0"/>
              <w:rPr>
                <w:rFonts w:ascii="Verdana" w:hAnsi="Verdana" w:cs="Tahoma"/>
                <w:sz w:val="16"/>
                <w:szCs w:val="16"/>
              </w:rPr>
            </w:pPr>
          </w:p>
        </w:tc>
        <w:tc>
          <w:tcPr>
            <w:tcW w:w="1952" w:type="dxa"/>
            <w:tcBorders>
              <w:bottom w:val="single" w:sz="4" w:space="0" w:color="auto"/>
            </w:tcBorders>
            <w:tcMar>
              <w:top w:w="85" w:type="dxa"/>
              <w:bottom w:w="85" w:type="dxa"/>
            </w:tcMar>
          </w:tcPr>
          <w:p w:rsidR="00B86C6B" w:rsidRPr="00800E2C" w:rsidRDefault="00B86C6B" w:rsidP="00621062">
            <w:pPr>
              <w:widowControl w:val="0"/>
              <w:rPr>
                <w:rFonts w:ascii="Verdana" w:hAnsi="Verdana" w:cs="Tahoma"/>
                <w:sz w:val="16"/>
                <w:szCs w:val="16"/>
              </w:rPr>
            </w:pPr>
            <w:r>
              <w:rPr>
                <w:rFonts w:ascii="Verdana" w:hAnsi="Verdana"/>
                <w:sz w:val="16"/>
              </w:rPr>
              <w:t xml:space="preserve">Limity najvyššieho obsahu chemických nečistôt pochádzajúcich z výrobného procesu alebo technologických pomocných látok sa stanovujú v nariadení (EÚ) č. 68/2013. </w:t>
            </w:r>
          </w:p>
          <w:p w:rsidR="00B86C6B" w:rsidRPr="00800E2C" w:rsidRDefault="00B86C6B" w:rsidP="00621062">
            <w:pPr>
              <w:widowControl w:val="0"/>
              <w:rPr>
                <w:rFonts w:ascii="Verdana" w:hAnsi="Verdana" w:cs="Tahoma"/>
                <w:sz w:val="16"/>
                <w:szCs w:val="16"/>
              </w:rPr>
            </w:pPr>
          </w:p>
          <w:p w:rsidR="00B86C6B" w:rsidRPr="00800E2C" w:rsidRDefault="00B86C6B" w:rsidP="00B11259">
            <w:pPr>
              <w:widowControl w:val="0"/>
              <w:rPr>
                <w:rFonts w:ascii="Verdana" w:hAnsi="Verdana" w:cs="Tahoma"/>
                <w:sz w:val="16"/>
                <w:szCs w:val="16"/>
              </w:rPr>
            </w:pPr>
          </w:p>
        </w:tc>
        <w:tc>
          <w:tcPr>
            <w:tcW w:w="1984" w:type="dxa"/>
            <w:tcBorders>
              <w:bottom w:val="single" w:sz="4" w:space="0" w:color="auto"/>
            </w:tcBorders>
            <w:tcMar>
              <w:top w:w="85" w:type="dxa"/>
              <w:bottom w:w="85" w:type="dxa"/>
            </w:tcMar>
          </w:tcPr>
          <w:p w:rsidR="00B86C6B" w:rsidRPr="00800E2C" w:rsidRDefault="00B86C6B" w:rsidP="004E54A8">
            <w:pPr>
              <w:widowControl w:val="0"/>
              <w:rPr>
                <w:rFonts w:ascii="Verdana" w:hAnsi="Verdana" w:cs="Tahoma"/>
                <w:sz w:val="16"/>
                <w:szCs w:val="16"/>
              </w:rPr>
            </w:pPr>
            <w:r>
              <w:rPr>
                <w:rFonts w:ascii="Verdana" w:hAnsi="Verdana"/>
                <w:sz w:val="16"/>
              </w:rPr>
              <w:t>Na zníženie rizika na prijateľnú úroveň sa musia vyhodnotiť technologické pomocné látky, ktoré prichádzajú do priameho styku s olejom, a prijať vhodné opatrenia.</w:t>
            </w:r>
          </w:p>
          <w:p w:rsidR="00B86C6B" w:rsidRPr="00800E2C" w:rsidRDefault="00303AC4" w:rsidP="004E54A8">
            <w:pPr>
              <w:widowControl w:val="0"/>
              <w:rPr>
                <w:rFonts w:ascii="Verdana" w:hAnsi="Verdana" w:cs="Tahoma"/>
                <w:sz w:val="16"/>
                <w:szCs w:val="16"/>
              </w:rPr>
            </w:pPr>
            <w:r>
              <w:rPr>
                <w:rFonts w:ascii="Verdana" w:hAnsi="Verdana"/>
                <w:sz w:val="16"/>
              </w:rPr>
              <w:t>Inline monitorovanie procesu (miery spotreby).</w:t>
            </w:r>
          </w:p>
        </w:tc>
        <w:tc>
          <w:tcPr>
            <w:tcW w:w="2694" w:type="dxa"/>
            <w:gridSpan w:val="2"/>
            <w:tcBorders>
              <w:bottom w:val="single" w:sz="4" w:space="0" w:color="auto"/>
            </w:tcBorders>
            <w:tcMar>
              <w:top w:w="85" w:type="dxa"/>
              <w:bottom w:w="85" w:type="dxa"/>
            </w:tcMar>
          </w:tcPr>
          <w:p w:rsidR="00B86C6B" w:rsidRPr="00800E2C" w:rsidRDefault="00B86C6B" w:rsidP="004E54A8">
            <w:pPr>
              <w:widowControl w:val="0"/>
              <w:rPr>
                <w:rFonts w:ascii="Verdana" w:hAnsi="Verdana" w:cs="Tahoma"/>
                <w:sz w:val="16"/>
                <w:szCs w:val="16"/>
              </w:rPr>
            </w:pPr>
          </w:p>
        </w:tc>
      </w:tr>
      <w:tr w:rsidR="00B86C6B" w:rsidRPr="00957197" w:rsidTr="00F029E4">
        <w:trPr>
          <w:trHeight w:val="1020"/>
        </w:trPr>
        <w:tc>
          <w:tcPr>
            <w:tcW w:w="1890" w:type="dxa"/>
            <w:tcMar>
              <w:top w:w="85" w:type="dxa"/>
              <w:bottom w:w="85" w:type="dxa"/>
            </w:tcMar>
          </w:tcPr>
          <w:p w:rsidR="00B86C6B" w:rsidRPr="00800E2C" w:rsidRDefault="00B86C6B" w:rsidP="004E54A8">
            <w:pPr>
              <w:widowControl w:val="0"/>
              <w:rPr>
                <w:rFonts w:ascii="Verdana" w:hAnsi="Verdana" w:cs="Tahoma"/>
                <w:sz w:val="16"/>
                <w:szCs w:val="16"/>
              </w:rPr>
            </w:pPr>
            <w:r>
              <w:rPr>
                <w:rFonts w:ascii="Verdana" w:hAnsi="Verdana"/>
                <w:b/>
                <w:sz w:val="16"/>
              </w:rPr>
              <w:t>Rezíduá pesticídov nad MRL, t. j. rezíduá herbicídov, insekticídov, fungicídov alebo rodenticídov nad MRL.</w:t>
            </w:r>
          </w:p>
        </w:tc>
        <w:tc>
          <w:tcPr>
            <w:tcW w:w="648" w:type="dxa"/>
            <w:tcMar>
              <w:top w:w="85" w:type="dxa"/>
              <w:bottom w:w="85" w:type="dxa"/>
            </w:tcMar>
          </w:tcPr>
          <w:p w:rsidR="00B86C6B" w:rsidRPr="00800E2C" w:rsidRDefault="00B86C6B" w:rsidP="004E54A8">
            <w:pPr>
              <w:widowControl w:val="0"/>
              <w:jc w:val="center"/>
              <w:rPr>
                <w:rFonts w:ascii="Verdana" w:hAnsi="Verdana" w:cs="Tahoma"/>
                <w:sz w:val="16"/>
                <w:szCs w:val="16"/>
              </w:rPr>
            </w:pPr>
            <w:r>
              <w:rPr>
                <w:rFonts w:ascii="Verdana" w:hAnsi="Verdana"/>
                <w:sz w:val="16"/>
              </w:rPr>
              <w:t>CH</w:t>
            </w:r>
          </w:p>
        </w:tc>
        <w:tc>
          <w:tcPr>
            <w:tcW w:w="972" w:type="dxa"/>
            <w:tcMar>
              <w:top w:w="85" w:type="dxa"/>
              <w:bottom w:w="85" w:type="dxa"/>
            </w:tcMar>
          </w:tcPr>
          <w:p w:rsidR="00B86C6B" w:rsidRPr="00800E2C" w:rsidRDefault="00FF185B" w:rsidP="004E54A8">
            <w:pPr>
              <w:widowControl w:val="0"/>
              <w:jc w:val="center"/>
              <w:rPr>
                <w:rFonts w:ascii="Verdana" w:hAnsi="Verdana" w:cs="Tahoma"/>
                <w:sz w:val="16"/>
                <w:szCs w:val="16"/>
              </w:rPr>
            </w:pPr>
            <w:r>
              <w:rPr>
                <w:rFonts w:ascii="Verdana" w:hAnsi="Verdana"/>
                <w:sz w:val="16"/>
              </w:rPr>
              <w:t>Nízka</w:t>
            </w:r>
          </w:p>
        </w:tc>
        <w:tc>
          <w:tcPr>
            <w:tcW w:w="1418" w:type="dxa"/>
            <w:tcMar>
              <w:top w:w="85" w:type="dxa"/>
              <w:bottom w:w="85" w:type="dxa"/>
            </w:tcMar>
          </w:tcPr>
          <w:p w:rsidR="00B86C6B" w:rsidRPr="00800E2C" w:rsidRDefault="00FF185B" w:rsidP="008C7C3E">
            <w:pPr>
              <w:widowControl w:val="0"/>
              <w:jc w:val="center"/>
              <w:rPr>
                <w:rFonts w:ascii="Verdana" w:hAnsi="Verdana" w:cs="Tahoma"/>
                <w:sz w:val="16"/>
                <w:szCs w:val="16"/>
              </w:rPr>
            </w:pPr>
            <w:r>
              <w:rPr>
                <w:rFonts w:ascii="Verdana" w:hAnsi="Verdana"/>
                <w:sz w:val="16"/>
              </w:rPr>
              <w:t>Nízka</w:t>
            </w:r>
          </w:p>
        </w:tc>
        <w:tc>
          <w:tcPr>
            <w:tcW w:w="850" w:type="dxa"/>
            <w:tcMar>
              <w:top w:w="85" w:type="dxa"/>
              <w:bottom w:w="85" w:type="dxa"/>
            </w:tcMar>
          </w:tcPr>
          <w:p w:rsidR="00B86C6B" w:rsidRPr="00800E2C" w:rsidRDefault="00B86C6B" w:rsidP="004E54A8">
            <w:pPr>
              <w:widowControl w:val="0"/>
              <w:jc w:val="center"/>
              <w:rPr>
                <w:rFonts w:ascii="Verdana" w:hAnsi="Verdana" w:cs="Tahoma"/>
                <w:sz w:val="16"/>
                <w:szCs w:val="16"/>
              </w:rPr>
            </w:pPr>
            <w:r>
              <w:rPr>
                <w:rFonts w:ascii="Verdana" w:hAnsi="Verdana"/>
                <w:sz w:val="16"/>
              </w:rPr>
              <w:t>1</w:t>
            </w:r>
          </w:p>
        </w:tc>
        <w:tc>
          <w:tcPr>
            <w:tcW w:w="2301" w:type="dxa"/>
            <w:tcMar>
              <w:top w:w="85" w:type="dxa"/>
              <w:bottom w:w="85" w:type="dxa"/>
            </w:tcMar>
          </w:tcPr>
          <w:p w:rsidR="00B86C6B" w:rsidRPr="00800E2C" w:rsidRDefault="00B86C6B" w:rsidP="008C7C3E">
            <w:pPr>
              <w:widowControl w:val="0"/>
              <w:rPr>
                <w:rFonts w:ascii="Verdana" w:hAnsi="Verdana" w:cs="Tahoma"/>
                <w:iCs/>
                <w:sz w:val="16"/>
                <w:szCs w:val="16"/>
              </w:rPr>
            </w:pPr>
            <w:r>
              <w:rPr>
                <w:rFonts w:ascii="Verdana" w:hAnsi="Verdana"/>
                <w:sz w:val="16"/>
              </w:rPr>
              <w:t>Z pravidelného monitorovania rezíduí pesticídov vyplýva, že sú splnené zákonné limity týchto rezíduí.  Pesticídy sa v glyceríne nekoncentrujú.</w:t>
            </w:r>
          </w:p>
        </w:tc>
        <w:tc>
          <w:tcPr>
            <w:tcW w:w="1952" w:type="dxa"/>
            <w:tcMar>
              <w:top w:w="85" w:type="dxa"/>
              <w:bottom w:w="85" w:type="dxa"/>
            </w:tcMar>
          </w:tcPr>
          <w:p w:rsidR="00B86C6B" w:rsidRPr="00800E2C" w:rsidRDefault="00B86C6B" w:rsidP="00C724B8">
            <w:pPr>
              <w:widowControl w:val="0"/>
              <w:rPr>
                <w:rFonts w:ascii="Verdana" w:hAnsi="Verdana" w:cs="Tahoma"/>
                <w:iCs/>
                <w:sz w:val="16"/>
                <w:szCs w:val="16"/>
              </w:rPr>
            </w:pPr>
            <w:r>
              <w:rPr>
                <w:rFonts w:ascii="Verdana" w:hAnsi="Verdana"/>
                <w:sz w:val="16"/>
              </w:rPr>
              <w:t xml:space="preserve">Limity rezíduí pesticídov sa stanovujú v nariadení (ES) č. 396/2005. </w:t>
            </w:r>
          </w:p>
        </w:tc>
        <w:tc>
          <w:tcPr>
            <w:tcW w:w="1984" w:type="dxa"/>
            <w:tcMar>
              <w:top w:w="85" w:type="dxa"/>
              <w:bottom w:w="85" w:type="dxa"/>
            </w:tcMar>
          </w:tcPr>
          <w:p w:rsidR="00B86C6B" w:rsidRPr="00800E2C" w:rsidRDefault="00B86C6B" w:rsidP="004E54A8">
            <w:pPr>
              <w:widowControl w:val="0"/>
              <w:rPr>
                <w:rFonts w:ascii="Verdana" w:hAnsi="Verdana" w:cs="Tahoma"/>
                <w:iCs/>
                <w:sz w:val="16"/>
                <w:szCs w:val="16"/>
              </w:rPr>
            </w:pPr>
          </w:p>
        </w:tc>
        <w:tc>
          <w:tcPr>
            <w:tcW w:w="2694" w:type="dxa"/>
            <w:gridSpan w:val="2"/>
            <w:tcMar>
              <w:top w:w="85" w:type="dxa"/>
              <w:bottom w:w="85" w:type="dxa"/>
            </w:tcMar>
          </w:tcPr>
          <w:p w:rsidR="00B86C6B" w:rsidRPr="00800E2C" w:rsidRDefault="00B86C6B" w:rsidP="004E54A8">
            <w:pPr>
              <w:widowControl w:val="0"/>
              <w:rPr>
                <w:rFonts w:ascii="Verdana" w:hAnsi="Verdana" w:cs="Tahoma"/>
                <w:sz w:val="16"/>
                <w:szCs w:val="16"/>
              </w:rPr>
            </w:pPr>
          </w:p>
        </w:tc>
      </w:tr>
      <w:tr w:rsidR="00FA07B5" w:rsidRPr="00957197" w:rsidTr="009F6611">
        <w:trPr>
          <w:trHeight w:val="805"/>
        </w:trPr>
        <w:tc>
          <w:tcPr>
            <w:tcW w:w="1890" w:type="dxa"/>
            <w:tcMar>
              <w:top w:w="85" w:type="dxa"/>
              <w:bottom w:w="85" w:type="dxa"/>
            </w:tcMar>
          </w:tcPr>
          <w:p w:rsidR="00FA07B5" w:rsidRPr="00BA26DA" w:rsidRDefault="004C162B" w:rsidP="004C162B">
            <w:pPr>
              <w:widowControl w:val="0"/>
              <w:rPr>
                <w:rFonts w:ascii="Verdana" w:hAnsi="Verdana" w:cs="Tahoma"/>
                <w:b/>
                <w:bCs/>
                <w:sz w:val="16"/>
                <w:szCs w:val="16"/>
              </w:rPr>
            </w:pPr>
            <w:r>
              <w:rPr>
                <w:rFonts w:ascii="Verdana" w:hAnsi="Verdana"/>
                <w:b/>
                <w:sz w:val="16"/>
              </w:rPr>
              <w:t xml:space="preserve">Kontaminácia v dôsledku procesu spätného získavania soli (pri neutralizácii glycerínu) </w:t>
            </w:r>
          </w:p>
        </w:tc>
        <w:tc>
          <w:tcPr>
            <w:tcW w:w="648" w:type="dxa"/>
            <w:tcMar>
              <w:top w:w="85" w:type="dxa"/>
              <w:bottom w:w="85" w:type="dxa"/>
            </w:tcMar>
          </w:tcPr>
          <w:p w:rsidR="00FA07B5" w:rsidRPr="00CF1843" w:rsidRDefault="00FA07B5" w:rsidP="004E54A8">
            <w:pPr>
              <w:widowControl w:val="0"/>
              <w:jc w:val="center"/>
              <w:rPr>
                <w:rFonts w:ascii="Verdana" w:hAnsi="Verdana" w:cs="Tahoma"/>
                <w:sz w:val="16"/>
                <w:szCs w:val="16"/>
              </w:rPr>
            </w:pPr>
            <w:r>
              <w:rPr>
                <w:rFonts w:ascii="Verdana" w:hAnsi="Verdana"/>
                <w:sz w:val="16"/>
              </w:rPr>
              <w:t>CH</w:t>
            </w:r>
          </w:p>
        </w:tc>
        <w:tc>
          <w:tcPr>
            <w:tcW w:w="972" w:type="dxa"/>
            <w:tcMar>
              <w:top w:w="85" w:type="dxa"/>
              <w:bottom w:w="85" w:type="dxa"/>
            </w:tcMar>
          </w:tcPr>
          <w:p w:rsidR="00FA07B5" w:rsidRPr="006F4A5D" w:rsidRDefault="00FA07B5" w:rsidP="004E54A8">
            <w:pPr>
              <w:widowControl w:val="0"/>
              <w:jc w:val="center"/>
              <w:rPr>
                <w:rFonts w:ascii="Verdana" w:hAnsi="Verdana" w:cs="Tahoma"/>
                <w:sz w:val="16"/>
                <w:szCs w:val="16"/>
              </w:rPr>
            </w:pPr>
            <w:r>
              <w:rPr>
                <w:rFonts w:ascii="Verdana" w:hAnsi="Verdana"/>
                <w:sz w:val="16"/>
              </w:rPr>
              <w:t>Nízka</w:t>
            </w:r>
          </w:p>
        </w:tc>
        <w:tc>
          <w:tcPr>
            <w:tcW w:w="1418" w:type="dxa"/>
            <w:tcMar>
              <w:top w:w="85" w:type="dxa"/>
              <w:bottom w:w="85" w:type="dxa"/>
            </w:tcMar>
          </w:tcPr>
          <w:p w:rsidR="00FA07B5" w:rsidRPr="006F4A5D" w:rsidRDefault="00FA07B5" w:rsidP="008C7C3E">
            <w:pPr>
              <w:widowControl w:val="0"/>
              <w:jc w:val="center"/>
              <w:rPr>
                <w:rFonts w:ascii="Verdana" w:hAnsi="Verdana" w:cs="Tahoma"/>
                <w:sz w:val="16"/>
                <w:szCs w:val="16"/>
              </w:rPr>
            </w:pPr>
            <w:r>
              <w:rPr>
                <w:rFonts w:ascii="Verdana" w:hAnsi="Verdana"/>
                <w:sz w:val="16"/>
              </w:rPr>
              <w:t>Nízka</w:t>
            </w:r>
          </w:p>
        </w:tc>
        <w:tc>
          <w:tcPr>
            <w:tcW w:w="850" w:type="dxa"/>
            <w:tcMar>
              <w:top w:w="85" w:type="dxa"/>
              <w:bottom w:w="85" w:type="dxa"/>
            </w:tcMar>
          </w:tcPr>
          <w:p w:rsidR="00FA07B5" w:rsidRPr="00633719" w:rsidRDefault="00633719" w:rsidP="004E54A8">
            <w:pPr>
              <w:widowControl w:val="0"/>
              <w:jc w:val="center"/>
              <w:rPr>
                <w:rFonts w:ascii="Verdana" w:hAnsi="Verdana" w:cs="Tahoma"/>
                <w:sz w:val="16"/>
                <w:szCs w:val="16"/>
              </w:rPr>
            </w:pPr>
            <w:r>
              <w:rPr>
                <w:rFonts w:ascii="Verdana" w:hAnsi="Verdana"/>
                <w:sz w:val="16"/>
              </w:rPr>
              <w:t>1</w:t>
            </w:r>
          </w:p>
        </w:tc>
        <w:tc>
          <w:tcPr>
            <w:tcW w:w="2301" w:type="dxa"/>
            <w:tcMar>
              <w:top w:w="85" w:type="dxa"/>
              <w:bottom w:w="85" w:type="dxa"/>
            </w:tcMar>
          </w:tcPr>
          <w:p w:rsidR="00FA07B5" w:rsidRPr="006F4A5D" w:rsidRDefault="004C162B" w:rsidP="00633719">
            <w:pPr>
              <w:widowControl w:val="0"/>
              <w:rPr>
                <w:rFonts w:ascii="Verdana" w:hAnsi="Verdana" w:cs="Tahoma"/>
                <w:sz w:val="16"/>
                <w:szCs w:val="16"/>
              </w:rPr>
            </w:pPr>
            <w:r>
              <w:rPr>
                <w:rFonts w:ascii="Verdana" w:hAnsi="Verdana"/>
                <w:sz w:val="16"/>
              </w:rPr>
              <w:t>V surovom glyceríne sa soľ (NaCl) vyskytuje takmer vždy rozpustená, a nie ako pevný vedľajší produkt.</w:t>
            </w:r>
          </w:p>
        </w:tc>
        <w:tc>
          <w:tcPr>
            <w:tcW w:w="1952" w:type="dxa"/>
            <w:tcMar>
              <w:top w:w="85" w:type="dxa"/>
              <w:bottom w:w="85" w:type="dxa"/>
            </w:tcMar>
          </w:tcPr>
          <w:p w:rsidR="00FA07B5" w:rsidRPr="006F4A5D" w:rsidRDefault="00FA07B5" w:rsidP="00C724B8">
            <w:pPr>
              <w:widowControl w:val="0"/>
              <w:rPr>
                <w:rFonts w:ascii="Verdana" w:hAnsi="Verdana" w:cs="Tahoma"/>
                <w:sz w:val="16"/>
                <w:szCs w:val="16"/>
              </w:rPr>
            </w:pPr>
          </w:p>
        </w:tc>
        <w:tc>
          <w:tcPr>
            <w:tcW w:w="1984" w:type="dxa"/>
            <w:tcMar>
              <w:top w:w="85" w:type="dxa"/>
              <w:bottom w:w="85" w:type="dxa"/>
            </w:tcMar>
          </w:tcPr>
          <w:p w:rsidR="00FA07B5" w:rsidRPr="00BA26DA" w:rsidRDefault="00FA07B5" w:rsidP="004E54A8">
            <w:pPr>
              <w:widowControl w:val="0"/>
              <w:rPr>
                <w:rFonts w:ascii="Verdana" w:hAnsi="Verdana" w:cs="Tahoma"/>
                <w:iCs/>
                <w:sz w:val="16"/>
                <w:szCs w:val="16"/>
              </w:rPr>
            </w:pPr>
          </w:p>
        </w:tc>
        <w:tc>
          <w:tcPr>
            <w:tcW w:w="2694" w:type="dxa"/>
            <w:gridSpan w:val="2"/>
            <w:tcMar>
              <w:top w:w="85" w:type="dxa"/>
              <w:bottom w:w="85" w:type="dxa"/>
            </w:tcMar>
          </w:tcPr>
          <w:p w:rsidR="00FA07B5" w:rsidRPr="006F4A5D" w:rsidRDefault="004C162B" w:rsidP="004E54A8">
            <w:pPr>
              <w:widowControl w:val="0"/>
              <w:rPr>
                <w:rFonts w:ascii="Verdana" w:hAnsi="Verdana" w:cs="Tahoma"/>
                <w:sz w:val="16"/>
                <w:szCs w:val="16"/>
              </w:rPr>
            </w:pPr>
            <w:r>
              <w:rPr>
                <w:rFonts w:ascii="Verdana" w:hAnsi="Verdana"/>
                <w:sz w:val="16"/>
              </w:rPr>
              <w:t>Možnosť spätného získania soli na použitie ako hnojivo.</w:t>
            </w:r>
          </w:p>
        </w:tc>
      </w:tr>
      <w:tr w:rsidR="008551A2" w:rsidRPr="00957197" w:rsidTr="00F029E4">
        <w:trPr>
          <w:trHeight w:val="1747"/>
        </w:trPr>
        <w:tc>
          <w:tcPr>
            <w:tcW w:w="1890" w:type="dxa"/>
            <w:tcMar>
              <w:top w:w="85" w:type="dxa"/>
              <w:bottom w:w="85" w:type="dxa"/>
            </w:tcMar>
          </w:tcPr>
          <w:p w:rsidR="00A25223" w:rsidRDefault="00A25223" w:rsidP="00A25223">
            <w:pPr>
              <w:widowControl w:val="0"/>
              <w:rPr>
                <w:rFonts w:ascii="Verdana" w:hAnsi="Verdana" w:cs="Tahoma"/>
                <w:b/>
                <w:bCs/>
                <w:sz w:val="16"/>
                <w:szCs w:val="16"/>
              </w:rPr>
            </w:pPr>
            <w:r>
              <w:rPr>
                <w:rFonts w:ascii="Verdana" w:hAnsi="Verdana"/>
                <w:b/>
                <w:sz w:val="16"/>
              </w:rPr>
              <w:lastRenderedPageBreak/>
              <w:t>Získavanie tukových látok – správne označenie</w:t>
            </w:r>
          </w:p>
          <w:p w:rsidR="00A25223" w:rsidRPr="008551A2" w:rsidRDefault="00A25223" w:rsidP="004E54A8">
            <w:pPr>
              <w:widowControl w:val="0"/>
              <w:rPr>
                <w:rFonts w:ascii="Verdana" w:hAnsi="Verdana" w:cs="Tahoma"/>
                <w:b/>
                <w:bCs/>
                <w:sz w:val="16"/>
                <w:szCs w:val="16"/>
              </w:rPr>
            </w:pPr>
          </w:p>
        </w:tc>
        <w:tc>
          <w:tcPr>
            <w:tcW w:w="648" w:type="dxa"/>
            <w:tcMar>
              <w:top w:w="85" w:type="dxa"/>
              <w:bottom w:w="85" w:type="dxa"/>
            </w:tcMar>
          </w:tcPr>
          <w:p w:rsidR="008551A2" w:rsidRPr="008551A2" w:rsidRDefault="008551A2" w:rsidP="004E54A8">
            <w:pPr>
              <w:widowControl w:val="0"/>
              <w:jc w:val="center"/>
              <w:rPr>
                <w:rFonts w:ascii="Verdana" w:hAnsi="Verdana" w:cs="Tahoma"/>
                <w:sz w:val="16"/>
                <w:szCs w:val="16"/>
              </w:rPr>
            </w:pPr>
          </w:p>
        </w:tc>
        <w:tc>
          <w:tcPr>
            <w:tcW w:w="972" w:type="dxa"/>
            <w:tcMar>
              <w:top w:w="85" w:type="dxa"/>
              <w:bottom w:w="85" w:type="dxa"/>
            </w:tcMar>
          </w:tcPr>
          <w:p w:rsidR="00A25223" w:rsidRPr="00565264" w:rsidRDefault="00A25223" w:rsidP="004E54A8">
            <w:pPr>
              <w:widowControl w:val="0"/>
              <w:jc w:val="center"/>
              <w:rPr>
                <w:rFonts w:ascii="Verdana" w:hAnsi="Verdana" w:cs="Tahoma"/>
                <w:sz w:val="16"/>
                <w:szCs w:val="16"/>
              </w:rPr>
            </w:pPr>
            <w:r>
              <w:rPr>
                <w:rFonts w:ascii="Verdana" w:hAnsi="Verdana"/>
                <w:sz w:val="16"/>
              </w:rPr>
              <w:t>Stredná</w:t>
            </w:r>
          </w:p>
        </w:tc>
        <w:tc>
          <w:tcPr>
            <w:tcW w:w="1418" w:type="dxa"/>
            <w:tcMar>
              <w:top w:w="85" w:type="dxa"/>
              <w:bottom w:w="85" w:type="dxa"/>
            </w:tcMar>
          </w:tcPr>
          <w:p w:rsidR="00A25223" w:rsidRPr="00565264" w:rsidRDefault="00A25223" w:rsidP="008C7C3E">
            <w:pPr>
              <w:widowControl w:val="0"/>
              <w:jc w:val="center"/>
              <w:rPr>
                <w:rFonts w:ascii="Verdana" w:hAnsi="Verdana" w:cs="Tahoma"/>
                <w:sz w:val="16"/>
                <w:szCs w:val="16"/>
              </w:rPr>
            </w:pPr>
            <w:r>
              <w:rPr>
                <w:rFonts w:ascii="Verdana" w:hAnsi="Verdana"/>
                <w:sz w:val="16"/>
              </w:rPr>
              <w:t>Vysoká</w:t>
            </w:r>
          </w:p>
        </w:tc>
        <w:tc>
          <w:tcPr>
            <w:tcW w:w="850" w:type="dxa"/>
            <w:shd w:val="clear" w:color="auto" w:fill="FF0000"/>
            <w:tcMar>
              <w:top w:w="85" w:type="dxa"/>
              <w:bottom w:w="85" w:type="dxa"/>
            </w:tcMar>
          </w:tcPr>
          <w:p w:rsidR="008551A2" w:rsidRPr="00565264" w:rsidRDefault="00565264" w:rsidP="004E54A8">
            <w:pPr>
              <w:widowControl w:val="0"/>
              <w:jc w:val="center"/>
              <w:rPr>
                <w:rFonts w:ascii="Verdana" w:hAnsi="Verdana" w:cs="Tahoma"/>
                <w:sz w:val="16"/>
                <w:szCs w:val="16"/>
              </w:rPr>
            </w:pPr>
            <w:r>
              <w:rPr>
                <w:rFonts w:ascii="Verdana" w:hAnsi="Verdana"/>
                <w:sz w:val="16"/>
              </w:rPr>
              <w:t>4</w:t>
            </w:r>
          </w:p>
        </w:tc>
        <w:tc>
          <w:tcPr>
            <w:tcW w:w="2301" w:type="dxa"/>
            <w:tcMar>
              <w:top w:w="85" w:type="dxa"/>
              <w:bottom w:w="85" w:type="dxa"/>
            </w:tcMar>
          </w:tcPr>
          <w:p w:rsidR="008551A2" w:rsidRPr="00565264" w:rsidRDefault="008551A2" w:rsidP="008C7C3E">
            <w:pPr>
              <w:widowControl w:val="0"/>
              <w:rPr>
                <w:rFonts w:ascii="Verdana" w:hAnsi="Verdana" w:cs="Tahoma"/>
                <w:sz w:val="16"/>
                <w:szCs w:val="16"/>
              </w:rPr>
            </w:pPr>
          </w:p>
        </w:tc>
        <w:tc>
          <w:tcPr>
            <w:tcW w:w="1952" w:type="dxa"/>
            <w:tcMar>
              <w:top w:w="85" w:type="dxa"/>
              <w:bottom w:w="85" w:type="dxa"/>
            </w:tcMar>
          </w:tcPr>
          <w:p w:rsidR="008551A2" w:rsidRPr="008551A2" w:rsidRDefault="008551A2" w:rsidP="00C724B8">
            <w:pPr>
              <w:widowControl w:val="0"/>
              <w:rPr>
                <w:rFonts w:ascii="Verdana" w:hAnsi="Verdana" w:cs="Tahoma"/>
                <w:sz w:val="16"/>
                <w:szCs w:val="16"/>
              </w:rPr>
            </w:pPr>
          </w:p>
        </w:tc>
        <w:tc>
          <w:tcPr>
            <w:tcW w:w="1984" w:type="dxa"/>
            <w:tcMar>
              <w:top w:w="85" w:type="dxa"/>
              <w:bottom w:w="85" w:type="dxa"/>
            </w:tcMar>
          </w:tcPr>
          <w:p w:rsidR="00A25223" w:rsidRPr="008551A2" w:rsidRDefault="00A25223" w:rsidP="009F6611">
            <w:pPr>
              <w:widowControl w:val="0"/>
              <w:rPr>
                <w:rFonts w:ascii="Verdana" w:hAnsi="Verdana" w:cs="Tahoma"/>
                <w:iCs/>
                <w:sz w:val="16"/>
                <w:szCs w:val="16"/>
              </w:rPr>
            </w:pPr>
            <w:r>
              <w:rPr>
                <w:rFonts w:ascii="Verdana" w:hAnsi="Verdana"/>
                <w:sz w:val="16"/>
              </w:rPr>
              <w:t>Ak sa ako vedľajší produkt získajú tukové látky, musia byť označené ako „Nepoužívať na výrobu krmív/potravín“, aby sa zabezpečilo, že nebudú použité v krmivárskom odvetví.</w:t>
            </w:r>
          </w:p>
        </w:tc>
        <w:tc>
          <w:tcPr>
            <w:tcW w:w="2694" w:type="dxa"/>
            <w:gridSpan w:val="2"/>
            <w:tcMar>
              <w:top w:w="85" w:type="dxa"/>
              <w:bottom w:w="85" w:type="dxa"/>
            </w:tcMar>
          </w:tcPr>
          <w:p w:rsidR="00A25223" w:rsidRPr="00151ACA" w:rsidRDefault="00A25223" w:rsidP="00A25223">
            <w:pPr>
              <w:rPr>
                <w:rFonts w:ascii="Verdana" w:hAnsi="Verdana"/>
                <w:sz w:val="16"/>
                <w:szCs w:val="16"/>
              </w:rPr>
            </w:pPr>
            <w:r>
              <w:rPr>
                <w:rFonts w:ascii="Verdana" w:hAnsi="Verdana"/>
                <w:sz w:val="16"/>
              </w:rPr>
              <w:t>Mastné kyseliny s metylestermi (nazývané aj tukové látky) zozbierané po spätnom získaní metanolu pri výrobe bionafty sa nesmú používať na kŕmne účely, nakoľko v mastných kyselinách sa koncentrujú lipofilné prísady používané pri výrobe bionafty.</w:t>
            </w:r>
          </w:p>
          <w:p w:rsidR="008551A2" w:rsidRPr="00800E2C" w:rsidRDefault="008551A2" w:rsidP="00A25223">
            <w:pPr>
              <w:rPr>
                <w:rFonts w:ascii="Verdana" w:hAnsi="Verdana" w:cs="Tahoma"/>
                <w:sz w:val="16"/>
                <w:szCs w:val="16"/>
              </w:rPr>
            </w:pPr>
          </w:p>
        </w:tc>
      </w:tr>
    </w:tbl>
    <w:p w:rsidR="004E54A8" w:rsidRPr="00957197" w:rsidRDefault="004E54A8" w:rsidP="004E54A8">
      <w:pPr>
        <w:rPr>
          <w:rFonts w:ascii="Verdana" w:hAnsi="Verdana" w:cs="Tahoma"/>
          <w:sz w:val="14"/>
          <w:szCs w:val="1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5"/>
        <w:gridCol w:w="639"/>
        <w:gridCol w:w="865"/>
        <w:gridCol w:w="1417"/>
        <w:gridCol w:w="851"/>
        <w:gridCol w:w="2835"/>
        <w:gridCol w:w="1701"/>
        <w:gridCol w:w="2409"/>
        <w:gridCol w:w="2127"/>
      </w:tblGrid>
      <w:tr w:rsidR="00C724B8" w:rsidRPr="00957197" w:rsidTr="00FF185B">
        <w:trPr>
          <w:trHeight w:val="425"/>
        </w:trPr>
        <w:tc>
          <w:tcPr>
            <w:tcW w:w="4786" w:type="dxa"/>
            <w:gridSpan w:val="4"/>
            <w:tcBorders>
              <w:bottom w:val="single" w:sz="4" w:space="0" w:color="auto"/>
            </w:tcBorders>
            <w:shd w:val="clear" w:color="auto" w:fill="0DA72A"/>
            <w:tcMar>
              <w:top w:w="57" w:type="dxa"/>
              <w:bottom w:w="57" w:type="dxa"/>
            </w:tcMar>
            <w:vAlign w:val="center"/>
          </w:tcPr>
          <w:p w:rsidR="00C724B8" w:rsidRPr="00C724B8" w:rsidRDefault="004E54A8" w:rsidP="00C724B8">
            <w:pPr>
              <w:widowControl w:val="0"/>
              <w:spacing w:before="20" w:after="20"/>
              <w:ind w:left="85" w:right="85"/>
              <w:rPr>
                <w:rFonts w:ascii="Verdana" w:hAnsi="Verdana"/>
                <w:b/>
                <w:color w:val="FFFFFF"/>
                <w:sz w:val="32"/>
                <w:szCs w:val="32"/>
              </w:rPr>
            </w:pPr>
            <w:r>
              <w:br w:type="page"/>
            </w:r>
            <w:r>
              <w:rPr>
                <w:rFonts w:ascii="Verdana" w:hAnsi="Verdana"/>
                <w:b/>
                <w:color w:val="FFFFFF"/>
                <w:sz w:val="32"/>
              </w:rPr>
              <w:t>8. Prístup založený na rizikách, pokiaľ ide o glycerín</w:t>
            </w:r>
          </w:p>
          <w:p w:rsidR="00C724B8" w:rsidRPr="00957197" w:rsidRDefault="00C724B8" w:rsidP="004E54A8">
            <w:pPr>
              <w:widowControl w:val="0"/>
              <w:spacing w:before="20" w:after="20"/>
              <w:jc w:val="right"/>
              <w:rPr>
                <w:rFonts w:ascii="Verdana" w:hAnsi="Verdana" w:cs="Tahoma"/>
                <w:b/>
                <w:bCs/>
                <w:color w:val="FFFFFF"/>
                <w:sz w:val="28"/>
                <w:szCs w:val="28"/>
              </w:rPr>
            </w:pPr>
          </w:p>
        </w:tc>
        <w:tc>
          <w:tcPr>
            <w:tcW w:w="9923" w:type="dxa"/>
            <w:gridSpan w:val="5"/>
            <w:tcBorders>
              <w:left w:val="nil"/>
              <w:bottom w:val="single" w:sz="4" w:space="0" w:color="auto"/>
            </w:tcBorders>
            <w:shd w:val="clear" w:color="auto" w:fill="0DA72A"/>
            <w:tcMar>
              <w:top w:w="57" w:type="dxa"/>
              <w:bottom w:w="57" w:type="dxa"/>
            </w:tcMar>
          </w:tcPr>
          <w:p w:rsidR="00C724B8" w:rsidRPr="00957197" w:rsidRDefault="00B87D01" w:rsidP="004E54A8">
            <w:pPr>
              <w:widowControl w:val="0"/>
              <w:spacing w:before="20" w:after="20"/>
              <w:ind w:left="85" w:right="85"/>
              <w:rPr>
                <w:rFonts w:ascii="Verdana" w:hAnsi="Verdana" w:cs="Tahoma"/>
                <w:b/>
                <w:color w:val="FFFFFF"/>
                <w:sz w:val="28"/>
                <w:szCs w:val="28"/>
              </w:rPr>
            </w:pPr>
            <w:r>
              <w:rPr>
                <w:rFonts w:ascii="Verdana" w:hAnsi="Verdana"/>
                <w:b/>
                <w:color w:val="FFFFFF"/>
                <w:sz w:val="28"/>
              </w:rPr>
              <w:t>7. Skladovanie</w:t>
            </w:r>
          </w:p>
        </w:tc>
      </w:tr>
      <w:tr w:rsidR="00B86C6B" w:rsidRPr="00957197" w:rsidTr="003E010C">
        <w:trPr>
          <w:trHeight w:val="531"/>
        </w:trPr>
        <w:tc>
          <w:tcPr>
            <w:tcW w:w="1865"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rPr>
                <w:rFonts w:ascii="Verdana" w:hAnsi="Verdana" w:cs="Tahoma"/>
                <w:b/>
                <w:bCs/>
                <w:color w:val="FFFFFF"/>
                <w:sz w:val="14"/>
                <w:szCs w:val="14"/>
              </w:rPr>
            </w:pPr>
            <w:r>
              <w:rPr>
                <w:rFonts w:ascii="Verdana" w:hAnsi="Verdana"/>
                <w:b/>
                <w:color w:val="FFFFFF"/>
                <w:sz w:val="14"/>
              </w:rPr>
              <w:t xml:space="preserve">NEBEZPEČENSTVO </w:t>
            </w:r>
          </w:p>
        </w:tc>
        <w:tc>
          <w:tcPr>
            <w:tcW w:w="639"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KATEGÓRIA </w:t>
            </w:r>
          </w:p>
        </w:tc>
        <w:tc>
          <w:tcPr>
            <w:tcW w:w="865"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PRAVDEPODOBNOSŤ </w:t>
            </w:r>
          </w:p>
        </w:tc>
        <w:tc>
          <w:tcPr>
            <w:tcW w:w="1417"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ZÁVAŽNOSŤ </w:t>
            </w:r>
          </w:p>
        </w:tc>
        <w:tc>
          <w:tcPr>
            <w:tcW w:w="851"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TRIEDA RIZIKA </w:t>
            </w:r>
          </w:p>
        </w:tc>
        <w:tc>
          <w:tcPr>
            <w:tcW w:w="2835"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ZDÔVODNENIE</w:t>
            </w:r>
          </w:p>
        </w:tc>
        <w:tc>
          <w:tcPr>
            <w:tcW w:w="1701"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PRÁVNE PREDPISY, ODVETVOVÉ NORMY A/ALEBO ZMLUVNÉ PODMIENKY </w:t>
            </w:r>
          </w:p>
        </w:tc>
        <w:tc>
          <w:tcPr>
            <w:tcW w:w="2409"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KONTROLNÉ OPATRENIE  </w:t>
            </w:r>
          </w:p>
        </w:tc>
        <w:tc>
          <w:tcPr>
            <w:tcW w:w="2127" w:type="dxa"/>
            <w:tcBorders>
              <w:bottom w:val="single" w:sz="4" w:space="0" w:color="auto"/>
            </w:tcBorders>
            <w:shd w:val="clear" w:color="auto" w:fill="0DA72A"/>
            <w:tcMar>
              <w:top w:w="28" w:type="dxa"/>
              <w:bottom w:w="28" w:type="dxa"/>
            </w:tcMar>
            <w:vAlign w:val="center"/>
          </w:tcPr>
          <w:p w:rsidR="00B86C6B" w:rsidRPr="00957197" w:rsidRDefault="00B86C6B" w:rsidP="004E54A8">
            <w:pPr>
              <w:widowControl w:val="0"/>
              <w:spacing w:before="20" w:after="20"/>
              <w:jc w:val="center"/>
              <w:rPr>
                <w:rFonts w:ascii="Verdana" w:hAnsi="Verdana" w:cs="Tahoma"/>
                <w:color w:val="FFFFFF"/>
                <w:sz w:val="14"/>
                <w:szCs w:val="14"/>
              </w:rPr>
            </w:pPr>
            <w:r>
              <w:rPr>
                <w:rFonts w:ascii="Verdana" w:hAnsi="Verdana"/>
                <w:b/>
                <w:color w:val="FFFFFF"/>
                <w:sz w:val="14"/>
              </w:rPr>
              <w:t xml:space="preserve">POZNÁMKY </w:t>
            </w:r>
          </w:p>
        </w:tc>
      </w:tr>
      <w:tr w:rsidR="00B86C6B" w:rsidRPr="00957197" w:rsidTr="003E010C">
        <w:trPr>
          <w:trHeight w:val="1015"/>
        </w:trPr>
        <w:tc>
          <w:tcPr>
            <w:tcW w:w="1865" w:type="dxa"/>
            <w:tcBorders>
              <w:bottom w:val="single" w:sz="4" w:space="0" w:color="auto"/>
            </w:tcBorders>
            <w:tcMar>
              <w:top w:w="85" w:type="dxa"/>
              <w:bottom w:w="85" w:type="dxa"/>
            </w:tcMar>
          </w:tcPr>
          <w:p w:rsidR="00B86C6B" w:rsidRPr="0055765D" w:rsidRDefault="00B86C6B" w:rsidP="00C724B8">
            <w:pPr>
              <w:widowControl w:val="0"/>
              <w:rPr>
                <w:rFonts w:ascii="Verdana" w:hAnsi="Verdana" w:cs="Tahoma"/>
                <w:b/>
                <w:bCs/>
                <w:sz w:val="16"/>
                <w:szCs w:val="16"/>
              </w:rPr>
            </w:pPr>
            <w:r>
              <w:rPr>
                <w:rFonts w:ascii="Verdana" w:hAnsi="Verdana"/>
                <w:b/>
                <w:sz w:val="16"/>
              </w:rPr>
              <w:t xml:space="preserve">Kontaminácia v dôsledku nedostatočnej segregácie </w:t>
            </w:r>
          </w:p>
        </w:tc>
        <w:tc>
          <w:tcPr>
            <w:tcW w:w="639" w:type="dxa"/>
            <w:tcBorders>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CH</w:t>
            </w:r>
          </w:p>
        </w:tc>
        <w:tc>
          <w:tcPr>
            <w:tcW w:w="865" w:type="dxa"/>
            <w:tcBorders>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Nízka</w:t>
            </w:r>
          </w:p>
        </w:tc>
        <w:tc>
          <w:tcPr>
            <w:tcW w:w="1417" w:type="dxa"/>
            <w:tcBorders>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Vysoká</w:t>
            </w:r>
          </w:p>
        </w:tc>
        <w:tc>
          <w:tcPr>
            <w:tcW w:w="851" w:type="dxa"/>
            <w:tcBorders>
              <w:bottom w:val="single" w:sz="4" w:space="0" w:color="auto"/>
            </w:tcBorders>
            <w:shd w:val="clear" w:color="auto" w:fill="FFC000"/>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3</w:t>
            </w:r>
          </w:p>
        </w:tc>
        <w:tc>
          <w:tcPr>
            <w:tcW w:w="2835" w:type="dxa"/>
            <w:tcBorders>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c>
          <w:tcPr>
            <w:tcW w:w="1701" w:type="dxa"/>
            <w:tcBorders>
              <w:bottom w:val="single" w:sz="4" w:space="0" w:color="auto"/>
            </w:tcBorders>
            <w:tcMar>
              <w:top w:w="85" w:type="dxa"/>
              <w:bottom w:w="85" w:type="dxa"/>
            </w:tcMar>
          </w:tcPr>
          <w:p w:rsidR="00B86C6B" w:rsidRPr="0055765D" w:rsidRDefault="00B86C6B" w:rsidP="00C724B8">
            <w:pPr>
              <w:widowControl w:val="0"/>
              <w:rPr>
                <w:rFonts w:ascii="Verdana" w:hAnsi="Verdana" w:cs="Tahoma"/>
                <w:sz w:val="16"/>
                <w:szCs w:val="16"/>
              </w:rPr>
            </w:pPr>
          </w:p>
        </w:tc>
        <w:tc>
          <w:tcPr>
            <w:tcW w:w="2409" w:type="dxa"/>
            <w:tcBorders>
              <w:bottom w:val="single" w:sz="4" w:space="0" w:color="auto"/>
            </w:tcBorders>
            <w:tcMar>
              <w:top w:w="85" w:type="dxa"/>
              <w:bottom w:w="85" w:type="dxa"/>
            </w:tcMar>
          </w:tcPr>
          <w:p w:rsidR="0052268B" w:rsidRDefault="00CE6A2B" w:rsidP="004E54A8">
            <w:pPr>
              <w:widowControl w:val="0"/>
              <w:rPr>
                <w:rFonts w:ascii="Verdana" w:hAnsi="Verdana" w:cs="Tahoma"/>
                <w:sz w:val="16"/>
                <w:szCs w:val="16"/>
              </w:rPr>
            </w:pPr>
            <w:r>
              <w:rPr>
                <w:rFonts w:ascii="Verdana" w:hAnsi="Verdana"/>
                <w:sz w:val="16"/>
              </w:rPr>
              <w:t xml:space="preserve">Zavedené postupy skladovania na zníženie rizika krížovej kontaminácie. </w:t>
            </w:r>
          </w:p>
          <w:p w:rsidR="0052268B" w:rsidRPr="0055765D" w:rsidRDefault="0052268B" w:rsidP="00FF185B">
            <w:pPr>
              <w:widowControl w:val="0"/>
              <w:rPr>
                <w:rFonts w:ascii="Verdana" w:hAnsi="Verdana" w:cs="Tahoma"/>
                <w:sz w:val="16"/>
                <w:szCs w:val="16"/>
              </w:rPr>
            </w:pPr>
            <w:r>
              <w:rPr>
                <w:rFonts w:ascii="Verdana" w:hAnsi="Verdana"/>
                <w:sz w:val="16"/>
              </w:rPr>
              <w:t>Vyhradené cisterny.</w:t>
            </w:r>
          </w:p>
        </w:tc>
        <w:tc>
          <w:tcPr>
            <w:tcW w:w="2127" w:type="dxa"/>
            <w:tcBorders>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r>
      <w:tr w:rsidR="00B86C6B" w:rsidRPr="00957197" w:rsidTr="003E010C">
        <w:trPr>
          <w:trHeight w:val="1670"/>
        </w:trPr>
        <w:tc>
          <w:tcPr>
            <w:tcW w:w="1865" w:type="dxa"/>
            <w:tcBorders>
              <w:bottom w:val="single" w:sz="4" w:space="0" w:color="auto"/>
            </w:tcBorders>
            <w:tcMar>
              <w:top w:w="85" w:type="dxa"/>
              <w:bottom w:w="85" w:type="dxa"/>
            </w:tcMar>
          </w:tcPr>
          <w:p w:rsidR="00B86C6B" w:rsidRPr="0055765D" w:rsidRDefault="00B86C6B" w:rsidP="004E54A8">
            <w:pPr>
              <w:widowControl w:val="0"/>
              <w:rPr>
                <w:rFonts w:ascii="Verdana" w:hAnsi="Verdana" w:cs="Tahoma"/>
                <w:b/>
                <w:bCs/>
                <w:sz w:val="16"/>
                <w:szCs w:val="16"/>
              </w:rPr>
            </w:pPr>
            <w:r>
              <w:rPr>
                <w:rFonts w:ascii="Verdana" w:hAnsi="Verdana"/>
                <w:b/>
                <w:sz w:val="16"/>
              </w:rPr>
              <w:t>Kontaminácia čistiacimi prostriedkami</w:t>
            </w:r>
          </w:p>
        </w:tc>
        <w:tc>
          <w:tcPr>
            <w:tcW w:w="639" w:type="dxa"/>
            <w:tcBorders>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CH</w:t>
            </w:r>
          </w:p>
        </w:tc>
        <w:tc>
          <w:tcPr>
            <w:tcW w:w="865" w:type="dxa"/>
            <w:tcBorders>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Nízka</w:t>
            </w:r>
          </w:p>
        </w:tc>
        <w:tc>
          <w:tcPr>
            <w:tcW w:w="1417" w:type="dxa"/>
            <w:tcBorders>
              <w:bottom w:val="single" w:sz="4" w:space="0" w:color="auto"/>
            </w:tcBorders>
            <w:tcMar>
              <w:top w:w="85" w:type="dxa"/>
              <w:bottom w:w="85" w:type="dxa"/>
            </w:tcMar>
          </w:tcPr>
          <w:p w:rsidR="00B86C6B" w:rsidRPr="0055765D" w:rsidRDefault="00B86C6B" w:rsidP="00FF185B">
            <w:pPr>
              <w:widowControl w:val="0"/>
              <w:jc w:val="center"/>
              <w:rPr>
                <w:rFonts w:ascii="Verdana" w:hAnsi="Verdana" w:cs="Tahoma"/>
                <w:sz w:val="16"/>
                <w:szCs w:val="16"/>
              </w:rPr>
            </w:pPr>
            <w:r>
              <w:rPr>
                <w:rFonts w:ascii="Verdana" w:hAnsi="Verdana"/>
                <w:sz w:val="16"/>
              </w:rPr>
              <w:t xml:space="preserve"> Stredná</w:t>
            </w:r>
          </w:p>
        </w:tc>
        <w:tc>
          <w:tcPr>
            <w:tcW w:w="851" w:type="dxa"/>
            <w:tcBorders>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 xml:space="preserve"> 2</w:t>
            </w:r>
          </w:p>
        </w:tc>
        <w:tc>
          <w:tcPr>
            <w:tcW w:w="2835" w:type="dxa"/>
            <w:tcBorders>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r>
              <w:rPr>
                <w:rFonts w:ascii="Verdana" w:hAnsi="Verdana"/>
                <w:sz w:val="16"/>
              </w:rPr>
              <w:t>Toto zatriedenie rizika sa vzťahuje na terminály, v ktorých sa skladujú chemické látky aj rastlinné oleje. Je možné, že sa nepoužívajú čistiace prostriedky, ktoré sú vhodné na použitie v potravinárskom priemysle. V termináloch s cisternami v EÚ, ktoré uplatňujú HACCP a ktoré skladujú rastlinné oleje a chemické látky oddelene, je pravdepodobnosť použitia nesprávnych čistiacich prostriedkov veľmi nízka.</w:t>
            </w:r>
          </w:p>
        </w:tc>
        <w:tc>
          <w:tcPr>
            <w:tcW w:w="1701" w:type="dxa"/>
            <w:tcBorders>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c>
          <w:tcPr>
            <w:tcW w:w="2409" w:type="dxa"/>
            <w:tcBorders>
              <w:bottom w:val="single" w:sz="4" w:space="0" w:color="auto"/>
            </w:tcBorders>
            <w:tcMar>
              <w:top w:w="85" w:type="dxa"/>
              <w:bottom w:w="85" w:type="dxa"/>
            </w:tcMar>
          </w:tcPr>
          <w:p w:rsidR="00B86C6B" w:rsidRPr="0055765D" w:rsidRDefault="001E05FE" w:rsidP="004E54A8">
            <w:pPr>
              <w:widowControl w:val="0"/>
              <w:rPr>
                <w:rFonts w:ascii="Verdana" w:hAnsi="Verdana" w:cs="Tahoma"/>
                <w:sz w:val="16"/>
                <w:szCs w:val="16"/>
              </w:rPr>
            </w:pPr>
            <w:r>
              <w:rPr>
                <w:rFonts w:ascii="Verdana" w:hAnsi="Verdana"/>
                <w:sz w:val="16"/>
              </w:rPr>
              <w:t xml:space="preserve">Na zníženie rizika na prijateľnú úroveň sa musia vyhodnotiť použité čistiace prostriedky a prijať vhodné opatrenia. </w:t>
            </w:r>
          </w:p>
        </w:tc>
        <w:tc>
          <w:tcPr>
            <w:tcW w:w="2127" w:type="dxa"/>
            <w:tcBorders>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r>
      <w:tr w:rsidR="00B86C6B" w:rsidRPr="00957197" w:rsidTr="003E010C">
        <w:trPr>
          <w:trHeight w:val="1305"/>
        </w:trPr>
        <w:tc>
          <w:tcPr>
            <w:tcW w:w="1865"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b/>
                <w:bCs/>
                <w:sz w:val="16"/>
                <w:szCs w:val="16"/>
              </w:rPr>
            </w:pPr>
            <w:r>
              <w:rPr>
                <w:rFonts w:ascii="Verdana" w:hAnsi="Verdana"/>
                <w:b/>
                <w:sz w:val="16"/>
              </w:rPr>
              <w:lastRenderedPageBreak/>
              <w:t>Tepelné vykurovacie kvapaliny v prípade zlyhania zariadenia</w:t>
            </w:r>
          </w:p>
        </w:tc>
        <w:tc>
          <w:tcPr>
            <w:tcW w:w="639"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CH</w:t>
            </w:r>
          </w:p>
        </w:tc>
        <w:tc>
          <w:tcPr>
            <w:tcW w:w="865"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Nízka</w:t>
            </w:r>
          </w:p>
        </w:tc>
        <w:tc>
          <w:tcPr>
            <w:tcW w:w="1417"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Vysoká</w:t>
            </w:r>
          </w:p>
        </w:tc>
        <w:tc>
          <w:tcPr>
            <w:tcW w:w="851" w:type="dxa"/>
            <w:tcBorders>
              <w:top w:val="single" w:sz="4" w:space="0" w:color="auto"/>
              <w:bottom w:val="single" w:sz="4" w:space="0" w:color="auto"/>
            </w:tcBorders>
            <w:shd w:val="clear" w:color="auto" w:fill="FFC000"/>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3</w:t>
            </w:r>
          </w:p>
        </w:tc>
        <w:tc>
          <w:tcPr>
            <w:tcW w:w="2835"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r>
              <w:rPr>
                <w:rFonts w:ascii="Verdana" w:hAnsi="Verdana"/>
                <w:sz w:val="16"/>
              </w:rPr>
              <w:t>Ešte stále možno používať toxické tepelné vykurovacie kvapaliny. Vzhľadom na relatívne nízke teploty vykurovania počas skladovania je však pravdepodobnosť úniku kvapalín z vykurovacích telies do produktu nízka.</w:t>
            </w:r>
          </w:p>
        </w:tc>
        <w:tc>
          <w:tcPr>
            <w:tcW w:w="1701"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c>
          <w:tcPr>
            <w:tcW w:w="2409"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r>
              <w:rPr>
                <w:rFonts w:ascii="Verdana" w:hAnsi="Verdana"/>
                <w:sz w:val="16"/>
              </w:rPr>
              <w:t xml:space="preserve">Ak boli použité tepelné vykurovacie kvapaliny, skladovacia spoločnosť musí zabezpečiť dokumentáciu o čistých stratách a v prípade potreby príslušnú analýzu. </w:t>
            </w:r>
          </w:p>
        </w:tc>
        <w:tc>
          <w:tcPr>
            <w:tcW w:w="2127"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r>
              <w:rPr>
                <w:rFonts w:ascii="Verdana" w:hAnsi="Verdana"/>
                <w:sz w:val="16"/>
              </w:rPr>
              <w:t>Odporúča sa použiť na ohrev vodu a paru. Tepelné vykurovacie kvapaliny sa bežne nepoužívajú.</w:t>
            </w:r>
          </w:p>
        </w:tc>
      </w:tr>
      <w:tr w:rsidR="00B86C6B" w:rsidRPr="00957197" w:rsidTr="003E010C">
        <w:trPr>
          <w:trHeight w:val="823"/>
        </w:trPr>
        <w:tc>
          <w:tcPr>
            <w:tcW w:w="1865"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b/>
                <w:bCs/>
                <w:sz w:val="16"/>
                <w:szCs w:val="16"/>
              </w:rPr>
            </w:pPr>
            <w:r>
              <w:rPr>
                <w:rFonts w:ascii="Verdana" w:hAnsi="Verdana"/>
                <w:b/>
                <w:sz w:val="16"/>
              </w:rPr>
              <w:t>Krížová kontaminácia</w:t>
            </w:r>
          </w:p>
        </w:tc>
        <w:tc>
          <w:tcPr>
            <w:tcW w:w="639"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CH</w:t>
            </w:r>
          </w:p>
        </w:tc>
        <w:tc>
          <w:tcPr>
            <w:tcW w:w="865"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Stredná</w:t>
            </w:r>
          </w:p>
        </w:tc>
        <w:tc>
          <w:tcPr>
            <w:tcW w:w="1417"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Stredná</w:t>
            </w:r>
          </w:p>
        </w:tc>
        <w:tc>
          <w:tcPr>
            <w:tcW w:w="851" w:type="dxa"/>
            <w:tcBorders>
              <w:top w:val="single" w:sz="4" w:space="0" w:color="auto"/>
              <w:bottom w:val="single" w:sz="4" w:space="0" w:color="auto"/>
            </w:tcBorders>
            <w:shd w:val="clear" w:color="auto" w:fill="FFC000"/>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3</w:t>
            </w:r>
          </w:p>
        </w:tc>
        <w:tc>
          <w:tcPr>
            <w:tcW w:w="2835"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c>
          <w:tcPr>
            <w:tcW w:w="1701"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c>
          <w:tcPr>
            <w:tcW w:w="2409"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r>
              <w:rPr>
                <w:rFonts w:ascii="Verdana" w:hAnsi="Verdana"/>
                <w:sz w:val="16"/>
              </w:rPr>
              <w:t>Vyhradené okruhy a zásobníky. Zavedený postup skladovania.</w:t>
            </w:r>
          </w:p>
        </w:tc>
        <w:tc>
          <w:tcPr>
            <w:tcW w:w="2127"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r>
    </w:tbl>
    <w:p w:rsidR="004E54A8" w:rsidRPr="00957197" w:rsidRDefault="004E54A8" w:rsidP="004E54A8">
      <w:pPr>
        <w:rPr>
          <w:rFonts w:ascii="Verdana" w:hAnsi="Verdana" w:cs="Tahoma"/>
          <w:sz w:val="14"/>
          <w:szCs w:val="14"/>
        </w:rPr>
      </w:pPr>
    </w:p>
    <w:p w:rsidR="004E54A8" w:rsidRPr="00957197" w:rsidRDefault="004E54A8" w:rsidP="004E54A8">
      <w:pPr>
        <w:rPr>
          <w:rFonts w:ascii="Verdana" w:hAnsi="Verdana" w:cs="Tahoma"/>
          <w:sz w:val="14"/>
          <w:szCs w:val="14"/>
        </w:rPr>
      </w:pPr>
    </w:p>
    <w:p w:rsidR="004E54A8" w:rsidRPr="00957197" w:rsidRDefault="004E54A8" w:rsidP="004E54A8">
      <w:pPr>
        <w:rPr>
          <w:rFonts w:ascii="Verdana" w:hAnsi="Verdana" w:cs="Tahoma"/>
          <w:sz w:val="14"/>
          <w:szCs w:val="14"/>
        </w:rPr>
      </w:pPr>
    </w:p>
    <w:p w:rsidR="004E54A8" w:rsidRPr="00957197" w:rsidRDefault="004E54A8" w:rsidP="004E54A8">
      <w:pPr>
        <w:rPr>
          <w:rFonts w:ascii="Verdana" w:hAnsi="Verdana" w:cs="Tahoma"/>
          <w:sz w:val="14"/>
          <w:szCs w:val="1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4"/>
        <w:gridCol w:w="686"/>
        <w:gridCol w:w="992"/>
        <w:gridCol w:w="1418"/>
        <w:gridCol w:w="850"/>
        <w:gridCol w:w="2268"/>
        <w:gridCol w:w="1843"/>
        <w:gridCol w:w="2551"/>
        <w:gridCol w:w="2127"/>
      </w:tblGrid>
      <w:tr w:rsidR="00C724B8" w:rsidRPr="00957197" w:rsidTr="00396EC6">
        <w:trPr>
          <w:trHeight w:val="925"/>
        </w:trPr>
        <w:tc>
          <w:tcPr>
            <w:tcW w:w="5070" w:type="dxa"/>
            <w:gridSpan w:val="4"/>
            <w:tcBorders>
              <w:bottom w:val="single" w:sz="4" w:space="0" w:color="auto"/>
            </w:tcBorders>
            <w:shd w:val="clear" w:color="auto" w:fill="0DA72A"/>
            <w:tcMar>
              <w:top w:w="57" w:type="dxa"/>
              <w:bottom w:w="57" w:type="dxa"/>
            </w:tcMar>
            <w:vAlign w:val="center"/>
          </w:tcPr>
          <w:p w:rsidR="00C724B8" w:rsidRPr="00957197" w:rsidRDefault="00E80F73" w:rsidP="00396EC6">
            <w:pPr>
              <w:widowControl w:val="0"/>
              <w:spacing w:before="20" w:after="20"/>
              <w:ind w:left="85" w:right="85"/>
              <w:rPr>
                <w:rFonts w:ascii="Verdana" w:hAnsi="Verdana" w:cs="Tahoma"/>
                <w:b/>
                <w:bCs/>
                <w:color w:val="FFFFFF"/>
                <w:sz w:val="28"/>
                <w:szCs w:val="28"/>
              </w:rPr>
            </w:pPr>
            <w:r>
              <w:rPr>
                <w:rFonts w:ascii="Verdana" w:hAnsi="Verdana"/>
                <w:b/>
                <w:color w:val="FFFFFF"/>
                <w:sz w:val="32"/>
              </w:rPr>
              <w:t>8. Prístup založený na rizikách, pokiaľ ide o glycerín</w:t>
            </w:r>
          </w:p>
        </w:tc>
        <w:tc>
          <w:tcPr>
            <w:tcW w:w="9639" w:type="dxa"/>
            <w:gridSpan w:val="5"/>
            <w:tcBorders>
              <w:left w:val="nil"/>
              <w:bottom w:val="single" w:sz="4" w:space="0" w:color="auto"/>
            </w:tcBorders>
            <w:shd w:val="clear" w:color="auto" w:fill="0DA72A"/>
            <w:tcMar>
              <w:top w:w="57" w:type="dxa"/>
              <w:bottom w:w="57" w:type="dxa"/>
            </w:tcMar>
          </w:tcPr>
          <w:p w:rsidR="00C724B8" w:rsidRPr="00957197" w:rsidRDefault="001E05FE" w:rsidP="00FB4DDD">
            <w:pPr>
              <w:widowControl w:val="0"/>
              <w:spacing w:before="20" w:after="20"/>
              <w:ind w:left="85" w:right="85"/>
              <w:rPr>
                <w:rFonts w:ascii="Verdana" w:hAnsi="Verdana" w:cs="Tahoma"/>
                <w:b/>
                <w:color w:val="FFFFFF"/>
                <w:sz w:val="28"/>
                <w:szCs w:val="28"/>
              </w:rPr>
            </w:pPr>
            <w:r>
              <w:rPr>
                <w:rFonts w:ascii="Verdana" w:hAnsi="Verdana"/>
                <w:b/>
                <w:color w:val="FFFFFF"/>
                <w:sz w:val="28"/>
              </w:rPr>
              <w:t xml:space="preserve">8. Preprava glycerínu </w:t>
            </w:r>
          </w:p>
        </w:tc>
      </w:tr>
      <w:tr w:rsidR="00B86C6B" w:rsidRPr="00687C0E" w:rsidTr="00FF185B">
        <w:trPr>
          <w:trHeight w:val="315"/>
        </w:trPr>
        <w:tc>
          <w:tcPr>
            <w:tcW w:w="1974" w:type="dxa"/>
            <w:tcBorders>
              <w:bottom w:val="single" w:sz="4" w:space="0" w:color="auto"/>
            </w:tcBorders>
            <w:shd w:val="clear" w:color="auto" w:fill="0DA72A"/>
            <w:tcMar>
              <w:top w:w="28" w:type="dxa"/>
              <w:bottom w:w="28" w:type="dxa"/>
            </w:tcMar>
            <w:vAlign w:val="center"/>
          </w:tcPr>
          <w:p w:rsidR="00B86C6B" w:rsidRPr="00687C0E" w:rsidRDefault="00B86C6B" w:rsidP="004E54A8">
            <w:pPr>
              <w:widowControl w:val="0"/>
              <w:spacing w:before="20" w:after="20"/>
              <w:rPr>
                <w:rFonts w:ascii="Verdana" w:hAnsi="Verdana" w:cs="Tahoma"/>
                <w:b/>
                <w:bCs/>
                <w:color w:val="FFFFFF"/>
                <w:sz w:val="14"/>
                <w:szCs w:val="14"/>
              </w:rPr>
            </w:pPr>
            <w:r>
              <w:rPr>
                <w:rFonts w:ascii="Verdana" w:hAnsi="Verdana"/>
                <w:b/>
                <w:color w:val="FFFFFF"/>
                <w:sz w:val="14"/>
              </w:rPr>
              <w:t xml:space="preserve">NEBEZPEČENSTVO </w:t>
            </w:r>
          </w:p>
        </w:tc>
        <w:tc>
          <w:tcPr>
            <w:tcW w:w="686" w:type="dxa"/>
            <w:tcBorders>
              <w:bottom w:val="single" w:sz="4" w:space="0" w:color="auto"/>
            </w:tcBorders>
            <w:shd w:val="clear" w:color="auto" w:fill="0DA72A"/>
            <w:tcMar>
              <w:top w:w="28" w:type="dxa"/>
              <w:bottom w:w="28" w:type="dxa"/>
            </w:tcMar>
            <w:vAlign w:val="center"/>
          </w:tcPr>
          <w:p w:rsidR="00B86C6B" w:rsidRPr="00687C0E"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KATEGÓRIA </w:t>
            </w:r>
          </w:p>
        </w:tc>
        <w:tc>
          <w:tcPr>
            <w:tcW w:w="992" w:type="dxa"/>
            <w:tcBorders>
              <w:bottom w:val="single" w:sz="4" w:space="0" w:color="auto"/>
            </w:tcBorders>
            <w:shd w:val="clear" w:color="auto" w:fill="0DA72A"/>
            <w:tcMar>
              <w:top w:w="28" w:type="dxa"/>
              <w:bottom w:w="28" w:type="dxa"/>
            </w:tcMar>
            <w:vAlign w:val="center"/>
          </w:tcPr>
          <w:p w:rsidR="00B86C6B" w:rsidRPr="00687C0E"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PRAVDEPODOBNOSŤ </w:t>
            </w:r>
          </w:p>
        </w:tc>
        <w:tc>
          <w:tcPr>
            <w:tcW w:w="1418" w:type="dxa"/>
            <w:tcBorders>
              <w:bottom w:val="single" w:sz="4" w:space="0" w:color="auto"/>
            </w:tcBorders>
            <w:shd w:val="clear" w:color="auto" w:fill="0DA72A"/>
            <w:tcMar>
              <w:top w:w="28" w:type="dxa"/>
              <w:bottom w:w="28" w:type="dxa"/>
            </w:tcMar>
            <w:vAlign w:val="center"/>
          </w:tcPr>
          <w:p w:rsidR="00B86C6B" w:rsidRPr="00687C0E"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ZÁVAŽNOSŤ </w:t>
            </w:r>
          </w:p>
        </w:tc>
        <w:tc>
          <w:tcPr>
            <w:tcW w:w="850" w:type="dxa"/>
            <w:tcBorders>
              <w:bottom w:val="single" w:sz="4" w:space="0" w:color="auto"/>
            </w:tcBorders>
            <w:shd w:val="clear" w:color="auto" w:fill="0DA72A"/>
            <w:tcMar>
              <w:top w:w="28" w:type="dxa"/>
              <w:bottom w:w="28" w:type="dxa"/>
            </w:tcMar>
            <w:vAlign w:val="center"/>
          </w:tcPr>
          <w:p w:rsidR="00B86C6B" w:rsidRPr="00687C0E"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TRIEDA RIZIKA </w:t>
            </w:r>
          </w:p>
        </w:tc>
        <w:tc>
          <w:tcPr>
            <w:tcW w:w="2268" w:type="dxa"/>
            <w:tcBorders>
              <w:bottom w:val="single" w:sz="4" w:space="0" w:color="auto"/>
            </w:tcBorders>
            <w:shd w:val="clear" w:color="auto" w:fill="0DA72A"/>
            <w:tcMar>
              <w:top w:w="28" w:type="dxa"/>
              <w:bottom w:w="28" w:type="dxa"/>
            </w:tcMar>
            <w:vAlign w:val="center"/>
          </w:tcPr>
          <w:p w:rsidR="00B86C6B" w:rsidRPr="00687C0E"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ZDÔVODNENIE</w:t>
            </w:r>
          </w:p>
        </w:tc>
        <w:tc>
          <w:tcPr>
            <w:tcW w:w="1843" w:type="dxa"/>
            <w:tcBorders>
              <w:bottom w:val="single" w:sz="4" w:space="0" w:color="auto"/>
            </w:tcBorders>
            <w:shd w:val="clear" w:color="auto" w:fill="0DA72A"/>
            <w:tcMar>
              <w:top w:w="28" w:type="dxa"/>
              <w:bottom w:w="28" w:type="dxa"/>
            </w:tcMar>
            <w:vAlign w:val="center"/>
          </w:tcPr>
          <w:p w:rsidR="00B86C6B" w:rsidRPr="00687C0E"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PRÁVNE PREDPISY, ODVETVOVÉ NORMY A/ALEBO ZMLUVNÉ PODMIENKY </w:t>
            </w:r>
          </w:p>
        </w:tc>
        <w:tc>
          <w:tcPr>
            <w:tcW w:w="2551" w:type="dxa"/>
            <w:tcBorders>
              <w:bottom w:val="single" w:sz="4" w:space="0" w:color="auto"/>
            </w:tcBorders>
            <w:shd w:val="clear" w:color="auto" w:fill="0DA72A"/>
            <w:tcMar>
              <w:top w:w="28" w:type="dxa"/>
              <w:bottom w:w="28" w:type="dxa"/>
            </w:tcMar>
            <w:vAlign w:val="center"/>
          </w:tcPr>
          <w:p w:rsidR="00B86C6B" w:rsidRPr="00687C0E" w:rsidRDefault="00B86C6B" w:rsidP="004E54A8">
            <w:pPr>
              <w:widowControl w:val="0"/>
              <w:spacing w:before="20" w:after="20"/>
              <w:jc w:val="center"/>
              <w:rPr>
                <w:rFonts w:ascii="Verdana" w:hAnsi="Verdana" w:cs="Tahoma"/>
                <w:b/>
                <w:bCs/>
                <w:color w:val="FFFFFF"/>
                <w:sz w:val="14"/>
                <w:szCs w:val="14"/>
              </w:rPr>
            </w:pPr>
            <w:r>
              <w:rPr>
                <w:rFonts w:ascii="Verdana" w:hAnsi="Verdana"/>
                <w:b/>
                <w:color w:val="FFFFFF"/>
                <w:sz w:val="14"/>
              </w:rPr>
              <w:t xml:space="preserve">KONTROLNÉ OPATRENIE  </w:t>
            </w:r>
          </w:p>
        </w:tc>
        <w:tc>
          <w:tcPr>
            <w:tcW w:w="2127" w:type="dxa"/>
            <w:tcBorders>
              <w:bottom w:val="single" w:sz="4" w:space="0" w:color="auto"/>
            </w:tcBorders>
            <w:shd w:val="clear" w:color="auto" w:fill="0DA72A"/>
            <w:tcMar>
              <w:top w:w="28" w:type="dxa"/>
              <w:bottom w:w="28" w:type="dxa"/>
            </w:tcMar>
            <w:vAlign w:val="center"/>
          </w:tcPr>
          <w:p w:rsidR="00B86C6B" w:rsidRPr="00687C0E" w:rsidRDefault="00B86C6B" w:rsidP="004E54A8">
            <w:pPr>
              <w:widowControl w:val="0"/>
              <w:spacing w:before="20" w:after="20"/>
              <w:jc w:val="center"/>
              <w:rPr>
                <w:rFonts w:ascii="Verdana" w:hAnsi="Verdana" w:cs="Tahoma"/>
                <w:color w:val="FFFFFF"/>
                <w:sz w:val="14"/>
                <w:szCs w:val="14"/>
              </w:rPr>
            </w:pPr>
            <w:r>
              <w:rPr>
                <w:rFonts w:ascii="Verdana" w:hAnsi="Verdana"/>
                <w:b/>
                <w:color w:val="FFFFFF"/>
                <w:sz w:val="14"/>
              </w:rPr>
              <w:t xml:space="preserve">POZNÁMKY </w:t>
            </w:r>
          </w:p>
        </w:tc>
      </w:tr>
      <w:tr w:rsidR="00B86C6B" w:rsidRPr="00687C0E" w:rsidTr="00FF185B">
        <w:trPr>
          <w:trHeight w:val="224"/>
        </w:trPr>
        <w:tc>
          <w:tcPr>
            <w:tcW w:w="1974" w:type="dxa"/>
            <w:tcBorders>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r>
              <w:rPr>
                <w:rFonts w:ascii="Verdana" w:hAnsi="Verdana"/>
                <w:b/>
                <w:sz w:val="16"/>
              </w:rPr>
              <w:t>Kontaminácia predchádzajúcim nákladom</w:t>
            </w:r>
          </w:p>
        </w:tc>
        <w:tc>
          <w:tcPr>
            <w:tcW w:w="686" w:type="dxa"/>
            <w:tcBorders>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r>
              <w:rPr>
                <w:rFonts w:ascii="Verdana" w:hAnsi="Verdana"/>
                <w:sz w:val="16"/>
              </w:rPr>
              <w:t>F/CH/B</w:t>
            </w:r>
          </w:p>
        </w:tc>
        <w:tc>
          <w:tcPr>
            <w:tcW w:w="992" w:type="dxa"/>
            <w:tcBorders>
              <w:bottom w:val="single" w:sz="4" w:space="0" w:color="auto"/>
            </w:tcBorders>
            <w:tcMar>
              <w:top w:w="85" w:type="dxa"/>
              <w:bottom w:w="85" w:type="dxa"/>
            </w:tcMar>
          </w:tcPr>
          <w:p w:rsidR="00B86C6B" w:rsidRPr="0055765D" w:rsidRDefault="00B86C6B" w:rsidP="00B86C6B">
            <w:pPr>
              <w:widowControl w:val="0"/>
              <w:jc w:val="center"/>
              <w:rPr>
                <w:rFonts w:ascii="Verdana" w:hAnsi="Verdana" w:cs="Tahoma"/>
                <w:sz w:val="16"/>
                <w:szCs w:val="16"/>
              </w:rPr>
            </w:pPr>
            <w:r>
              <w:rPr>
                <w:rFonts w:ascii="Verdana" w:hAnsi="Verdana"/>
                <w:sz w:val="16"/>
              </w:rPr>
              <w:t>Nízka</w:t>
            </w:r>
          </w:p>
        </w:tc>
        <w:tc>
          <w:tcPr>
            <w:tcW w:w="1418" w:type="dxa"/>
            <w:tcBorders>
              <w:bottom w:val="single" w:sz="4" w:space="0" w:color="auto"/>
            </w:tcBorders>
            <w:tcMar>
              <w:top w:w="85" w:type="dxa"/>
              <w:bottom w:w="85" w:type="dxa"/>
            </w:tcMar>
          </w:tcPr>
          <w:p w:rsidR="00B86C6B" w:rsidRPr="0055765D" w:rsidRDefault="00B86C6B" w:rsidP="00B86C6B">
            <w:pPr>
              <w:widowControl w:val="0"/>
              <w:jc w:val="center"/>
              <w:rPr>
                <w:rFonts w:ascii="Verdana" w:hAnsi="Verdana" w:cs="Tahoma"/>
                <w:sz w:val="16"/>
                <w:szCs w:val="16"/>
              </w:rPr>
            </w:pPr>
            <w:r>
              <w:rPr>
                <w:rFonts w:ascii="Verdana" w:hAnsi="Verdana"/>
                <w:sz w:val="16"/>
              </w:rPr>
              <w:t>Stredná</w:t>
            </w:r>
          </w:p>
        </w:tc>
        <w:tc>
          <w:tcPr>
            <w:tcW w:w="850" w:type="dxa"/>
            <w:tcBorders>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2</w:t>
            </w:r>
          </w:p>
        </w:tc>
        <w:tc>
          <w:tcPr>
            <w:tcW w:w="2268" w:type="dxa"/>
            <w:tcBorders>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p>
        </w:tc>
        <w:tc>
          <w:tcPr>
            <w:tcW w:w="1843" w:type="dxa"/>
            <w:tcBorders>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c>
          <w:tcPr>
            <w:tcW w:w="2551" w:type="dxa"/>
            <w:tcBorders>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r>
              <w:rPr>
                <w:rFonts w:ascii="Verdana" w:hAnsi="Verdana"/>
                <w:sz w:val="16"/>
              </w:rPr>
              <w:t>Kontrola troch predchádzajúcich nákladov.</w:t>
            </w:r>
          </w:p>
        </w:tc>
        <w:tc>
          <w:tcPr>
            <w:tcW w:w="2127" w:type="dxa"/>
            <w:tcBorders>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r>
      <w:tr w:rsidR="00B86C6B" w:rsidRPr="00687C0E" w:rsidTr="00FF185B">
        <w:trPr>
          <w:trHeight w:val="1011"/>
        </w:trPr>
        <w:tc>
          <w:tcPr>
            <w:tcW w:w="1974"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b/>
                <w:sz w:val="16"/>
                <w:szCs w:val="16"/>
              </w:rPr>
            </w:pPr>
            <w:r>
              <w:rPr>
                <w:rFonts w:ascii="Verdana" w:hAnsi="Verdana"/>
                <w:b/>
                <w:sz w:val="16"/>
              </w:rPr>
              <w:t>– Autocisterny, železničné cisterny a cisternové nákladné člny</w:t>
            </w:r>
          </w:p>
        </w:tc>
        <w:tc>
          <w:tcPr>
            <w:tcW w:w="686"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CH</w:t>
            </w:r>
          </w:p>
        </w:tc>
        <w:tc>
          <w:tcPr>
            <w:tcW w:w="992"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Nízka</w:t>
            </w:r>
          </w:p>
        </w:tc>
        <w:tc>
          <w:tcPr>
            <w:tcW w:w="1418"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Vysoká</w:t>
            </w:r>
          </w:p>
        </w:tc>
        <w:tc>
          <w:tcPr>
            <w:tcW w:w="850" w:type="dxa"/>
            <w:tcBorders>
              <w:top w:val="single" w:sz="4" w:space="0" w:color="auto"/>
              <w:bottom w:val="single" w:sz="4" w:space="0" w:color="auto"/>
            </w:tcBorders>
            <w:shd w:val="clear" w:color="auto" w:fill="FFC000"/>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3</w:t>
            </w:r>
          </w:p>
        </w:tc>
        <w:tc>
          <w:tcPr>
            <w:tcW w:w="2268" w:type="dxa"/>
            <w:tcBorders>
              <w:top w:val="single" w:sz="4" w:space="0" w:color="auto"/>
              <w:bottom w:val="single" w:sz="4" w:space="0" w:color="auto"/>
            </w:tcBorders>
            <w:tcMar>
              <w:top w:w="85" w:type="dxa"/>
              <w:bottom w:w="85" w:type="dxa"/>
            </w:tcMar>
          </w:tcPr>
          <w:p w:rsidR="00B86C6B" w:rsidRPr="0055765D" w:rsidRDefault="00B86C6B" w:rsidP="00CE02F7">
            <w:pPr>
              <w:widowControl w:val="0"/>
              <w:rPr>
                <w:rFonts w:ascii="Verdana" w:hAnsi="Verdana" w:cs="Tahoma"/>
                <w:sz w:val="16"/>
                <w:szCs w:val="16"/>
              </w:rPr>
            </w:pPr>
            <w:r>
              <w:rPr>
                <w:rFonts w:ascii="Verdana" w:hAnsi="Verdana"/>
                <w:sz w:val="16"/>
              </w:rPr>
              <w:t>Preprava glycerínu na základe požiadaviek zákazníka.</w:t>
            </w:r>
          </w:p>
        </w:tc>
        <w:tc>
          <w:tcPr>
            <w:tcW w:w="1843"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r>
              <w:rPr>
                <w:rFonts w:ascii="Verdana" w:hAnsi="Verdana"/>
                <w:sz w:val="16"/>
              </w:rPr>
              <w:t>Pravidlá prepravy kŕmnych surovín sa stanovujú v nariadení (ES) č. 183/2005.</w:t>
            </w:r>
          </w:p>
          <w:p w:rsidR="00B86C6B" w:rsidRPr="0055765D" w:rsidRDefault="00B86C6B" w:rsidP="004E54A8">
            <w:pPr>
              <w:widowControl w:val="0"/>
              <w:rPr>
                <w:rFonts w:ascii="Verdana" w:hAnsi="Verdana" w:cs="Tahoma"/>
                <w:sz w:val="16"/>
                <w:szCs w:val="16"/>
              </w:rPr>
            </w:pPr>
          </w:p>
        </w:tc>
        <w:tc>
          <w:tcPr>
            <w:tcW w:w="2551"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r>
              <w:t xml:space="preserve">Skontrolujte predchádzajúce náklady pomocou </w:t>
            </w:r>
            <w:hyperlink r:id="rId22">
              <w:r>
                <w:rPr>
                  <w:rStyle w:val="Hyperlink"/>
                  <w:rFonts w:ascii="Verdana" w:hAnsi="Verdana"/>
                  <w:sz w:val="16"/>
                </w:rPr>
                <w:t>databázy IDTF</w:t>
              </w:r>
            </w:hyperlink>
            <w:r>
              <w:t>.</w:t>
            </w:r>
          </w:p>
          <w:p w:rsidR="00B86C6B" w:rsidRPr="0055765D" w:rsidRDefault="00B86C6B" w:rsidP="004E54A8">
            <w:pPr>
              <w:widowControl w:val="0"/>
              <w:rPr>
                <w:rFonts w:ascii="Verdana" w:hAnsi="Verdana" w:cs="Tahoma"/>
                <w:sz w:val="16"/>
                <w:szCs w:val="16"/>
              </w:rPr>
            </w:pPr>
            <w:r>
              <w:rPr>
                <w:rFonts w:ascii="Verdana" w:hAnsi="Verdana"/>
                <w:sz w:val="16"/>
              </w:rPr>
              <w:t>Doprava vhodná pre kŕmne suroviny, ako sa uvádza v Európskej príručke pre priemyselnú výrobu bezpečných kŕmnych surovín.</w:t>
            </w:r>
          </w:p>
        </w:tc>
        <w:tc>
          <w:tcPr>
            <w:tcW w:w="2127"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r>
      <w:tr w:rsidR="00B86C6B" w:rsidRPr="00687C0E" w:rsidTr="00FF185B">
        <w:trPr>
          <w:trHeight w:val="224"/>
        </w:trPr>
        <w:tc>
          <w:tcPr>
            <w:tcW w:w="1974"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b/>
                <w:bCs/>
                <w:sz w:val="16"/>
                <w:szCs w:val="16"/>
              </w:rPr>
            </w:pPr>
            <w:r>
              <w:rPr>
                <w:rFonts w:ascii="Verdana" w:hAnsi="Verdana"/>
                <w:b/>
                <w:sz w:val="16"/>
              </w:rPr>
              <w:lastRenderedPageBreak/>
              <w:t>Kontaminácia čistiacimi prostriedkami</w:t>
            </w:r>
          </w:p>
        </w:tc>
        <w:tc>
          <w:tcPr>
            <w:tcW w:w="686"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CH</w:t>
            </w:r>
          </w:p>
        </w:tc>
        <w:tc>
          <w:tcPr>
            <w:tcW w:w="992"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 xml:space="preserve">Nízka </w:t>
            </w:r>
          </w:p>
        </w:tc>
        <w:tc>
          <w:tcPr>
            <w:tcW w:w="1418"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Vysoká</w:t>
            </w:r>
          </w:p>
        </w:tc>
        <w:tc>
          <w:tcPr>
            <w:tcW w:w="850" w:type="dxa"/>
            <w:tcBorders>
              <w:top w:val="single" w:sz="4" w:space="0" w:color="auto"/>
              <w:bottom w:val="single" w:sz="4" w:space="0" w:color="auto"/>
            </w:tcBorders>
            <w:shd w:val="clear" w:color="auto" w:fill="FFC000"/>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3</w:t>
            </w:r>
          </w:p>
        </w:tc>
        <w:tc>
          <w:tcPr>
            <w:tcW w:w="2268"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p>
        </w:tc>
        <w:tc>
          <w:tcPr>
            <w:tcW w:w="1843"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right"/>
              <w:rPr>
                <w:rFonts w:ascii="Verdana" w:hAnsi="Verdana" w:cs="Tahoma"/>
                <w:sz w:val="16"/>
                <w:szCs w:val="16"/>
              </w:rPr>
            </w:pPr>
          </w:p>
        </w:tc>
        <w:tc>
          <w:tcPr>
            <w:tcW w:w="2551" w:type="dxa"/>
            <w:tcBorders>
              <w:top w:val="single" w:sz="4" w:space="0" w:color="auto"/>
              <w:bottom w:val="single" w:sz="4" w:space="0" w:color="auto"/>
            </w:tcBorders>
            <w:tcMar>
              <w:top w:w="85" w:type="dxa"/>
              <w:bottom w:w="85" w:type="dxa"/>
            </w:tcMar>
          </w:tcPr>
          <w:p w:rsidR="009F6611" w:rsidRPr="00D70570" w:rsidRDefault="009F6611" w:rsidP="009F6611">
            <w:pPr>
              <w:pStyle w:val="Default"/>
              <w:rPr>
                <w:rFonts w:ascii="Verdana" w:hAnsi="Verdana"/>
                <w:sz w:val="16"/>
                <w:szCs w:val="16"/>
              </w:rPr>
            </w:pPr>
            <w:r>
              <w:rPr>
                <w:rFonts w:ascii="Verdana" w:hAnsi="Verdana"/>
                <w:sz w:val="16"/>
              </w:rPr>
              <w:t xml:space="preserve">Čistiace prostriedky používané na čistenie prepravných kontajnerov na glycerín by sa mali odstrániť dôkladným vypláchnutím. Na zníženie rizika na prijateľnú úroveň sa musia vyhodnotiť použité čistiace prostriedky z hľadiska možných rizík a prijať vhodné opatrenia. </w:t>
            </w:r>
          </w:p>
          <w:p w:rsidR="00B86C6B" w:rsidRPr="00D70570" w:rsidRDefault="009F6611" w:rsidP="00396EC6">
            <w:pPr>
              <w:pStyle w:val="Default"/>
              <w:rPr>
                <w:rFonts w:asciiTheme="minorHAnsi" w:hAnsiTheme="minorHAnsi"/>
                <w:sz w:val="18"/>
                <w:szCs w:val="18"/>
              </w:rPr>
            </w:pPr>
            <w:r>
              <w:rPr>
                <w:rFonts w:ascii="Verdana" w:hAnsi="Verdana"/>
                <w:sz w:val="16"/>
              </w:rPr>
              <w:t>Nejde o bežné riziko, keďže vo väčšine prípadov sa používajú vyhradené prepravné kontajnery.</w:t>
            </w:r>
          </w:p>
        </w:tc>
        <w:tc>
          <w:tcPr>
            <w:tcW w:w="2127"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r>
      <w:tr w:rsidR="00B86C6B" w:rsidRPr="00687C0E" w:rsidTr="00FF185B">
        <w:trPr>
          <w:cantSplit/>
          <w:trHeight w:val="448"/>
        </w:trPr>
        <w:tc>
          <w:tcPr>
            <w:tcW w:w="1974"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b/>
                <w:sz w:val="16"/>
                <w:szCs w:val="16"/>
              </w:rPr>
            </w:pPr>
            <w:r>
              <w:rPr>
                <w:rFonts w:ascii="Verdana" w:hAnsi="Verdana"/>
                <w:b/>
                <w:sz w:val="16"/>
              </w:rPr>
              <w:t xml:space="preserve">Autocisterny </w:t>
            </w:r>
          </w:p>
        </w:tc>
        <w:tc>
          <w:tcPr>
            <w:tcW w:w="686"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CH</w:t>
            </w:r>
          </w:p>
        </w:tc>
        <w:tc>
          <w:tcPr>
            <w:tcW w:w="992"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Nízka</w:t>
            </w:r>
          </w:p>
        </w:tc>
        <w:tc>
          <w:tcPr>
            <w:tcW w:w="1418"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Nízka</w:t>
            </w:r>
          </w:p>
        </w:tc>
        <w:tc>
          <w:tcPr>
            <w:tcW w:w="850"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1</w:t>
            </w:r>
          </w:p>
        </w:tc>
        <w:tc>
          <w:tcPr>
            <w:tcW w:w="2268"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r>
              <w:rPr>
                <w:rFonts w:ascii="Verdana" w:hAnsi="Verdana"/>
                <w:sz w:val="16"/>
              </w:rPr>
              <w:t xml:space="preserve">Používajú sa cisterny z nehrdzavejúcej ocele, ktoré sa zahrievajú vodou používanou na ochladzovanie motora prostredníctvom systému dvojitých stien (nie cievok). </w:t>
            </w:r>
          </w:p>
        </w:tc>
        <w:tc>
          <w:tcPr>
            <w:tcW w:w="1843"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c>
          <w:tcPr>
            <w:tcW w:w="2551"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c>
          <w:tcPr>
            <w:tcW w:w="2127"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r>
      <w:tr w:rsidR="00B86C6B" w:rsidRPr="00687C0E" w:rsidTr="00FF185B">
        <w:trPr>
          <w:cantSplit/>
          <w:trHeight w:val="340"/>
        </w:trPr>
        <w:tc>
          <w:tcPr>
            <w:tcW w:w="1974"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b/>
                <w:bCs/>
                <w:sz w:val="16"/>
                <w:szCs w:val="16"/>
              </w:rPr>
            </w:pPr>
            <w:r>
              <w:rPr>
                <w:rFonts w:ascii="Verdana" w:hAnsi="Verdana"/>
                <w:b/>
                <w:sz w:val="16"/>
              </w:rPr>
              <w:t>Cudzie telesá</w:t>
            </w:r>
          </w:p>
        </w:tc>
        <w:tc>
          <w:tcPr>
            <w:tcW w:w="686"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F</w:t>
            </w:r>
          </w:p>
        </w:tc>
        <w:tc>
          <w:tcPr>
            <w:tcW w:w="992"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Nízka</w:t>
            </w:r>
          </w:p>
        </w:tc>
        <w:tc>
          <w:tcPr>
            <w:tcW w:w="1418" w:type="dxa"/>
            <w:tcBorders>
              <w:top w:val="single" w:sz="4" w:space="0" w:color="auto"/>
              <w:bottom w:val="single" w:sz="4" w:space="0" w:color="auto"/>
            </w:tcBorders>
            <w:tcMar>
              <w:top w:w="85" w:type="dxa"/>
              <w:bottom w:w="85" w:type="dxa"/>
            </w:tcMar>
          </w:tcPr>
          <w:p w:rsidR="00B86C6B" w:rsidRPr="0055765D" w:rsidRDefault="00FF185B" w:rsidP="004E54A8">
            <w:pPr>
              <w:widowControl w:val="0"/>
              <w:jc w:val="center"/>
              <w:rPr>
                <w:rFonts w:ascii="Verdana" w:hAnsi="Verdana" w:cs="Tahoma"/>
                <w:sz w:val="16"/>
                <w:szCs w:val="16"/>
              </w:rPr>
            </w:pPr>
            <w:r>
              <w:rPr>
                <w:rFonts w:ascii="Verdana" w:hAnsi="Verdana"/>
                <w:sz w:val="16"/>
              </w:rPr>
              <w:t>Vysoká</w:t>
            </w:r>
          </w:p>
        </w:tc>
        <w:tc>
          <w:tcPr>
            <w:tcW w:w="850" w:type="dxa"/>
            <w:tcBorders>
              <w:top w:val="single" w:sz="4" w:space="0" w:color="auto"/>
              <w:bottom w:val="single" w:sz="4" w:space="0" w:color="auto"/>
            </w:tcBorders>
            <w:shd w:val="clear" w:color="auto" w:fill="FFC000"/>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3</w:t>
            </w:r>
          </w:p>
        </w:tc>
        <w:tc>
          <w:tcPr>
            <w:tcW w:w="2268"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c>
          <w:tcPr>
            <w:tcW w:w="1843"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iCs/>
                <w:color w:val="FF6600"/>
                <w:sz w:val="16"/>
                <w:szCs w:val="16"/>
              </w:rPr>
            </w:pPr>
          </w:p>
        </w:tc>
        <w:tc>
          <w:tcPr>
            <w:tcW w:w="2551" w:type="dxa"/>
            <w:tcBorders>
              <w:top w:val="single" w:sz="4" w:space="0" w:color="auto"/>
              <w:bottom w:val="single" w:sz="4" w:space="0" w:color="auto"/>
            </w:tcBorders>
            <w:tcMar>
              <w:top w:w="85" w:type="dxa"/>
              <w:bottom w:w="85" w:type="dxa"/>
            </w:tcMar>
          </w:tcPr>
          <w:p w:rsidR="00B86C6B" w:rsidRPr="0055765D" w:rsidRDefault="00B86C6B" w:rsidP="00C46A1D">
            <w:pPr>
              <w:widowControl w:val="0"/>
              <w:rPr>
                <w:rFonts w:ascii="Verdana" w:hAnsi="Verdana" w:cs="Tahoma"/>
                <w:sz w:val="16"/>
                <w:szCs w:val="16"/>
              </w:rPr>
            </w:pPr>
            <w:r>
              <w:rPr>
                <w:rFonts w:ascii="Verdana" w:hAnsi="Verdana"/>
                <w:sz w:val="16"/>
              </w:rPr>
              <w:t>V pláne kvality by sa malo vyžadovať, aby sa plnenie autocisterien glycerínom vykonávalo pod strechou.</w:t>
            </w:r>
          </w:p>
        </w:tc>
        <w:tc>
          <w:tcPr>
            <w:tcW w:w="2127"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r>
      <w:tr w:rsidR="00B86C6B" w:rsidRPr="00687C0E" w:rsidTr="00FF185B">
        <w:trPr>
          <w:cantSplit/>
          <w:trHeight w:val="340"/>
        </w:trPr>
        <w:tc>
          <w:tcPr>
            <w:tcW w:w="1974"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b/>
                <w:bCs/>
                <w:sz w:val="16"/>
                <w:szCs w:val="16"/>
              </w:rPr>
            </w:pPr>
            <w:r>
              <w:rPr>
                <w:rFonts w:ascii="Verdana" w:hAnsi="Verdana"/>
                <w:b/>
                <w:sz w:val="16"/>
              </w:rPr>
              <w:t xml:space="preserve">Škodcovia </w:t>
            </w:r>
          </w:p>
        </w:tc>
        <w:tc>
          <w:tcPr>
            <w:tcW w:w="686"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B</w:t>
            </w:r>
          </w:p>
        </w:tc>
        <w:tc>
          <w:tcPr>
            <w:tcW w:w="992"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Stredná</w:t>
            </w:r>
          </w:p>
        </w:tc>
        <w:tc>
          <w:tcPr>
            <w:tcW w:w="1418" w:type="dxa"/>
            <w:tcBorders>
              <w:top w:val="single" w:sz="4" w:space="0" w:color="auto"/>
              <w:bottom w:val="single" w:sz="4" w:space="0" w:color="auto"/>
            </w:tcBorders>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Stredná</w:t>
            </w:r>
          </w:p>
        </w:tc>
        <w:tc>
          <w:tcPr>
            <w:tcW w:w="850" w:type="dxa"/>
            <w:tcBorders>
              <w:top w:val="single" w:sz="4" w:space="0" w:color="auto"/>
              <w:bottom w:val="single" w:sz="4" w:space="0" w:color="auto"/>
            </w:tcBorders>
            <w:shd w:val="clear" w:color="auto" w:fill="FFC000"/>
            <w:tcMar>
              <w:top w:w="85" w:type="dxa"/>
              <w:bottom w:w="85" w:type="dxa"/>
            </w:tcMar>
          </w:tcPr>
          <w:p w:rsidR="00B86C6B" w:rsidRPr="0055765D" w:rsidRDefault="00B86C6B" w:rsidP="004E54A8">
            <w:pPr>
              <w:widowControl w:val="0"/>
              <w:jc w:val="center"/>
              <w:rPr>
                <w:rFonts w:ascii="Verdana" w:hAnsi="Verdana" w:cs="Tahoma"/>
                <w:sz w:val="16"/>
                <w:szCs w:val="16"/>
              </w:rPr>
            </w:pPr>
            <w:r>
              <w:rPr>
                <w:rFonts w:ascii="Verdana" w:hAnsi="Verdana"/>
                <w:sz w:val="16"/>
              </w:rPr>
              <w:t>3</w:t>
            </w:r>
          </w:p>
        </w:tc>
        <w:tc>
          <w:tcPr>
            <w:tcW w:w="2268"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p>
        </w:tc>
        <w:tc>
          <w:tcPr>
            <w:tcW w:w="1843"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iCs/>
                <w:color w:val="FF6600"/>
                <w:sz w:val="16"/>
                <w:szCs w:val="16"/>
              </w:rPr>
            </w:pPr>
          </w:p>
        </w:tc>
        <w:tc>
          <w:tcPr>
            <w:tcW w:w="2551" w:type="dxa"/>
            <w:tcBorders>
              <w:top w:val="single" w:sz="4" w:space="0" w:color="auto"/>
              <w:bottom w:val="single" w:sz="4" w:space="0" w:color="auto"/>
            </w:tcBorders>
            <w:tcMar>
              <w:top w:w="85" w:type="dxa"/>
              <w:bottom w:w="85" w:type="dxa"/>
            </w:tcMar>
          </w:tcPr>
          <w:p w:rsidR="00B86C6B" w:rsidRPr="0055765D" w:rsidRDefault="00B86C6B" w:rsidP="00C46A1D">
            <w:pPr>
              <w:widowControl w:val="0"/>
              <w:rPr>
                <w:rFonts w:ascii="Verdana" w:hAnsi="Verdana" w:cs="Tahoma"/>
                <w:sz w:val="16"/>
                <w:szCs w:val="16"/>
              </w:rPr>
            </w:pPr>
            <w:r>
              <w:rPr>
                <w:rFonts w:ascii="Verdana" w:hAnsi="Verdana"/>
                <w:sz w:val="16"/>
              </w:rPr>
              <w:t>Program nevyhnutných predpokladov na ochranu pred škodcami.</w:t>
            </w:r>
          </w:p>
        </w:tc>
        <w:tc>
          <w:tcPr>
            <w:tcW w:w="2127" w:type="dxa"/>
            <w:tcBorders>
              <w:top w:val="single" w:sz="4" w:space="0" w:color="auto"/>
              <w:bottom w:val="single" w:sz="4" w:space="0" w:color="auto"/>
            </w:tcBorders>
            <w:tcMar>
              <w:top w:w="85" w:type="dxa"/>
              <w:bottom w:w="85" w:type="dxa"/>
            </w:tcMar>
          </w:tcPr>
          <w:p w:rsidR="00B86C6B" w:rsidRPr="0055765D" w:rsidRDefault="00B86C6B" w:rsidP="004E54A8">
            <w:pPr>
              <w:widowControl w:val="0"/>
              <w:rPr>
                <w:rFonts w:ascii="Verdana" w:hAnsi="Verdana" w:cs="Tahoma"/>
                <w:sz w:val="16"/>
                <w:szCs w:val="16"/>
              </w:rPr>
            </w:pPr>
            <w:r>
              <w:rPr>
                <w:rFonts w:ascii="Verdana" w:hAnsi="Verdana"/>
                <w:sz w:val="16"/>
              </w:rPr>
              <w:t>Kontrola aktivity škodcov.</w:t>
            </w:r>
          </w:p>
        </w:tc>
      </w:tr>
    </w:tbl>
    <w:p w:rsidR="00183009" w:rsidRPr="00687C0E" w:rsidRDefault="00183009" w:rsidP="004E54A8">
      <w:pPr>
        <w:rPr>
          <w:rFonts w:ascii="Verdana" w:hAnsi="Verdana"/>
        </w:rPr>
        <w:sectPr w:rsidR="00183009" w:rsidRPr="00687C0E" w:rsidSect="009218C6">
          <w:headerReference w:type="default" r:id="rId23"/>
          <w:pgSz w:w="15840" w:h="12240" w:orient="landscape"/>
          <w:pgMar w:top="1134" w:right="851" w:bottom="284" w:left="851" w:header="720" w:footer="720" w:gutter="0"/>
          <w:cols w:space="720"/>
          <w:docGrid w:linePitch="360"/>
        </w:sectPr>
      </w:pPr>
    </w:p>
    <w:p w:rsidR="00E33DAE" w:rsidRPr="00687C0E" w:rsidRDefault="00E33DAE" w:rsidP="008675C9">
      <w:pPr>
        <w:pStyle w:val="Heading1"/>
        <w:numPr>
          <w:ilvl w:val="0"/>
          <w:numId w:val="0"/>
        </w:numPr>
        <w:ind w:left="432"/>
        <w:rPr>
          <w:rFonts w:ascii="Verdana" w:hAnsi="Verdana" w:cs="Tahoma"/>
          <w:sz w:val="20"/>
          <w:szCs w:val="20"/>
        </w:rPr>
      </w:pPr>
    </w:p>
    <w:p w:rsidR="002E52C2" w:rsidRPr="00687C0E" w:rsidRDefault="00E80F73" w:rsidP="00E80F73">
      <w:pPr>
        <w:pStyle w:val="Heading1"/>
        <w:numPr>
          <w:ilvl w:val="0"/>
          <w:numId w:val="0"/>
        </w:numPr>
        <w:rPr>
          <w:rFonts w:ascii="Verdana" w:hAnsi="Verdana"/>
        </w:rPr>
      </w:pPr>
      <w:bookmarkStart w:id="19" w:name="_Toc438220131"/>
      <w:r>
        <w:rPr>
          <w:rFonts w:ascii="Verdana" w:hAnsi="Verdana"/>
        </w:rPr>
        <w:t>9. Minimálne monitorovanie</w:t>
      </w:r>
      <w:bookmarkEnd w:id="19"/>
    </w:p>
    <w:p w:rsidR="00816A4D" w:rsidRPr="00687C0E" w:rsidRDefault="00816A4D" w:rsidP="006D3ABA">
      <w:pPr>
        <w:jc w:val="both"/>
        <w:rPr>
          <w:rFonts w:ascii="Verdana" w:hAnsi="Verdana" w:cs="Tahoma"/>
          <w:szCs w:val="20"/>
        </w:rPr>
      </w:pPr>
    </w:p>
    <w:p w:rsidR="007D5256" w:rsidRPr="00687C0E" w:rsidRDefault="00DB5BD0" w:rsidP="006D3ABA">
      <w:pPr>
        <w:jc w:val="both"/>
        <w:rPr>
          <w:rFonts w:ascii="Verdana" w:hAnsi="Verdana" w:cs="Tahoma"/>
          <w:szCs w:val="20"/>
        </w:rPr>
      </w:pPr>
      <w:r>
        <w:rPr>
          <w:rFonts w:ascii="Verdana" w:hAnsi="Verdana"/>
        </w:rPr>
        <w:t xml:space="preserve">Účastníci systému EFISC musia zaviesť plán monitorovania, ako sa uvádza v odseku 4.4.3 kódexu EFISC. </w:t>
      </w:r>
    </w:p>
    <w:p w:rsidR="00DB5BD0" w:rsidRPr="00687C0E" w:rsidRDefault="00DB5BD0" w:rsidP="006D3ABA">
      <w:pPr>
        <w:jc w:val="both"/>
        <w:rPr>
          <w:rFonts w:ascii="Verdana" w:hAnsi="Verdana" w:cs="Tahoma"/>
          <w:szCs w:val="20"/>
        </w:rPr>
      </w:pPr>
    </w:p>
    <w:p w:rsidR="00DB5BD0" w:rsidRPr="00633719" w:rsidRDefault="00DB5BD0" w:rsidP="006D3ABA">
      <w:pPr>
        <w:jc w:val="both"/>
        <w:rPr>
          <w:rFonts w:ascii="Verdana" w:hAnsi="Verdana" w:cs="Tahoma"/>
          <w:szCs w:val="20"/>
        </w:rPr>
      </w:pPr>
      <w:r>
        <w:rPr>
          <w:rFonts w:ascii="Verdana" w:hAnsi="Verdana"/>
        </w:rPr>
        <w:t>Ak nie sú k dispozícii dostatočné údaje na posúdenie rizík, uplatňujú sa tieto minimálne požiadavky na monitorovanie. Minimálny počet analýz bude závisieť od množstva kŕmnych surovín v tonách, ktoré boli vyrobené na jednom mieste, ako sa uvádza v tabuľke ďalej.</w:t>
      </w:r>
    </w:p>
    <w:p w:rsidR="002C2C5A" w:rsidRDefault="002C2C5A" w:rsidP="006D3ABA">
      <w:pPr>
        <w:jc w:val="both"/>
        <w:rPr>
          <w:rFonts w:ascii="Verdana" w:hAnsi="Verdana" w:cs="Tahoma"/>
          <w:szCs w:val="20"/>
        </w:rPr>
      </w:pPr>
    </w:p>
    <w:p w:rsidR="00DB5BD0" w:rsidRPr="00687C0E" w:rsidRDefault="00DB5BD0" w:rsidP="00D86426">
      <w:pPr>
        <w:autoSpaceDE w:val="0"/>
        <w:autoSpaceDN w:val="0"/>
        <w:adjustRightInd w:val="0"/>
        <w:rPr>
          <w:rFonts w:ascii="Verdana" w:hAnsi="Verdana" w:cs="Tahoma"/>
          <w:b/>
          <w:bCs/>
          <w:szCs w:val="20"/>
        </w:rPr>
      </w:pPr>
    </w:p>
    <w:p w:rsidR="00D86426" w:rsidRPr="00687C0E" w:rsidRDefault="00AB104D" w:rsidP="00D86426">
      <w:pPr>
        <w:autoSpaceDE w:val="0"/>
        <w:autoSpaceDN w:val="0"/>
        <w:adjustRightInd w:val="0"/>
        <w:rPr>
          <w:rFonts w:ascii="Verdana" w:hAnsi="Verdana" w:cs="Tahoma"/>
          <w:b/>
          <w:bCs/>
          <w:szCs w:val="20"/>
          <w:u w:val="single"/>
        </w:rPr>
      </w:pPr>
      <w:r>
        <w:rPr>
          <w:rFonts w:ascii="Verdana" w:hAnsi="Verdana"/>
          <w:b/>
          <w:u w:val="single"/>
        </w:rPr>
        <w:t>Minimálny plán monitorovania glycerínu ako vedľajšieho produktu pri spracovaní rastlinného oleja</w:t>
      </w:r>
    </w:p>
    <w:p w:rsidR="00AB104D" w:rsidRPr="00687C0E" w:rsidRDefault="00AB104D" w:rsidP="00D86426">
      <w:pPr>
        <w:autoSpaceDE w:val="0"/>
        <w:autoSpaceDN w:val="0"/>
        <w:adjustRightInd w:val="0"/>
        <w:rPr>
          <w:rFonts w:ascii="Verdana" w:hAnsi="Verdana" w:cs="Tahoma"/>
          <w:szCs w:val="20"/>
        </w:rPr>
      </w:pPr>
    </w:p>
    <w:p w:rsidR="00D86426" w:rsidRPr="00687C0E" w:rsidRDefault="00DB5BD0" w:rsidP="00D86426">
      <w:pPr>
        <w:autoSpaceDE w:val="0"/>
        <w:autoSpaceDN w:val="0"/>
        <w:adjustRightInd w:val="0"/>
        <w:rPr>
          <w:rFonts w:ascii="Verdana" w:hAnsi="Verdana" w:cs="Tahoma"/>
          <w:b/>
          <w:szCs w:val="20"/>
        </w:rPr>
      </w:pPr>
      <w:r>
        <w:rPr>
          <w:rFonts w:ascii="Verdana" w:hAnsi="Verdana"/>
          <w:b/>
        </w:rPr>
        <w:t xml:space="preserve">Tabuľka A: Glycerín a surový glycerín </w:t>
      </w:r>
    </w:p>
    <w:p w:rsidR="00D86426" w:rsidRPr="00687C0E" w:rsidRDefault="00D86426" w:rsidP="00D86426">
      <w:pPr>
        <w:autoSpaceDE w:val="0"/>
        <w:autoSpaceDN w:val="0"/>
        <w:adjustRightInd w:val="0"/>
        <w:rPr>
          <w:rFonts w:ascii="Verdana" w:hAnsi="Verdana" w:cs="Tahoma"/>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418"/>
        <w:gridCol w:w="1558"/>
        <w:gridCol w:w="1418"/>
      </w:tblGrid>
      <w:tr w:rsidR="00687C0E" w:rsidRPr="00687C0E" w:rsidTr="007B1792">
        <w:trPr>
          <w:jc w:val="center"/>
        </w:trPr>
        <w:tc>
          <w:tcPr>
            <w:tcW w:w="2943" w:type="dxa"/>
            <w:shd w:val="clear" w:color="auto" w:fill="DBE5F1"/>
          </w:tcPr>
          <w:p w:rsidR="00687C0E" w:rsidRPr="00687C0E" w:rsidRDefault="00687C0E" w:rsidP="00446691">
            <w:pPr>
              <w:autoSpaceDE w:val="0"/>
              <w:autoSpaceDN w:val="0"/>
              <w:adjustRightInd w:val="0"/>
              <w:rPr>
                <w:rFonts w:ascii="Verdana" w:hAnsi="Verdana" w:cs="Tahoma"/>
                <w:b/>
                <w:szCs w:val="20"/>
              </w:rPr>
            </w:pPr>
            <w:r>
              <w:rPr>
                <w:rFonts w:ascii="Verdana" w:hAnsi="Verdana"/>
                <w:b/>
              </w:rPr>
              <w:t>Ročná výroba v tonách</w:t>
            </w:r>
          </w:p>
          <w:p w:rsidR="00687C0E" w:rsidRPr="00687C0E" w:rsidRDefault="00687C0E" w:rsidP="00446691">
            <w:pPr>
              <w:autoSpaceDE w:val="0"/>
              <w:autoSpaceDN w:val="0"/>
              <w:adjustRightInd w:val="0"/>
              <w:rPr>
                <w:rFonts w:ascii="Verdana" w:hAnsi="Verdana" w:cs="Tahoma"/>
                <w:b/>
                <w:szCs w:val="20"/>
              </w:rPr>
            </w:pPr>
            <w:r>
              <w:rPr>
                <w:rFonts w:ascii="Verdana" w:hAnsi="Verdana"/>
                <w:b/>
              </w:rPr>
              <w:t>Parameter</w:t>
            </w:r>
          </w:p>
        </w:tc>
        <w:tc>
          <w:tcPr>
            <w:tcW w:w="1418" w:type="dxa"/>
            <w:shd w:val="clear" w:color="auto" w:fill="DBE5F1"/>
          </w:tcPr>
          <w:p w:rsidR="00687C0E" w:rsidRPr="00687C0E" w:rsidRDefault="004F4487" w:rsidP="00446691">
            <w:pPr>
              <w:autoSpaceDE w:val="0"/>
              <w:autoSpaceDN w:val="0"/>
              <w:adjustRightInd w:val="0"/>
              <w:rPr>
                <w:rFonts w:ascii="Verdana" w:hAnsi="Verdana" w:cs="Tahoma"/>
                <w:b/>
                <w:bCs/>
                <w:szCs w:val="20"/>
              </w:rPr>
            </w:pPr>
            <w:r>
              <w:rPr>
                <w:rFonts w:ascii="Verdana" w:hAnsi="Verdana"/>
                <w:b/>
              </w:rPr>
              <w:t>&lt; 10 000 t</w:t>
            </w:r>
          </w:p>
          <w:p w:rsidR="00687C0E" w:rsidRPr="00687C0E" w:rsidRDefault="00687C0E" w:rsidP="00446691">
            <w:pPr>
              <w:autoSpaceDE w:val="0"/>
              <w:autoSpaceDN w:val="0"/>
              <w:adjustRightInd w:val="0"/>
              <w:rPr>
                <w:rFonts w:ascii="Verdana" w:hAnsi="Verdana" w:cs="Tahoma"/>
                <w:szCs w:val="20"/>
              </w:rPr>
            </w:pPr>
          </w:p>
        </w:tc>
        <w:tc>
          <w:tcPr>
            <w:tcW w:w="1558" w:type="dxa"/>
            <w:shd w:val="clear" w:color="auto" w:fill="DBE5F1"/>
          </w:tcPr>
          <w:p w:rsidR="00687C0E" w:rsidRPr="00687C0E" w:rsidRDefault="00687C0E" w:rsidP="00446691">
            <w:pPr>
              <w:autoSpaceDE w:val="0"/>
              <w:autoSpaceDN w:val="0"/>
              <w:adjustRightInd w:val="0"/>
              <w:rPr>
                <w:rFonts w:ascii="Verdana" w:hAnsi="Verdana" w:cs="Tahoma"/>
                <w:b/>
                <w:bCs/>
                <w:szCs w:val="20"/>
              </w:rPr>
            </w:pPr>
            <w:r>
              <w:rPr>
                <w:rFonts w:ascii="Verdana" w:hAnsi="Verdana"/>
                <w:b/>
              </w:rPr>
              <w:t>&gt; 10 000 t –</w:t>
            </w:r>
          </w:p>
          <w:p w:rsidR="00687C0E" w:rsidRPr="00687C0E" w:rsidRDefault="004F4487" w:rsidP="00446691">
            <w:pPr>
              <w:autoSpaceDE w:val="0"/>
              <w:autoSpaceDN w:val="0"/>
              <w:adjustRightInd w:val="0"/>
              <w:rPr>
                <w:rFonts w:ascii="Verdana" w:hAnsi="Verdana" w:cs="Tahoma"/>
                <w:b/>
                <w:bCs/>
                <w:szCs w:val="20"/>
              </w:rPr>
            </w:pPr>
            <w:r>
              <w:rPr>
                <w:rFonts w:ascii="Verdana" w:hAnsi="Verdana"/>
                <w:b/>
              </w:rPr>
              <w:t>&lt; 20 000 t</w:t>
            </w:r>
          </w:p>
          <w:p w:rsidR="00687C0E" w:rsidRPr="00687C0E" w:rsidRDefault="00687C0E" w:rsidP="00446691">
            <w:pPr>
              <w:autoSpaceDE w:val="0"/>
              <w:autoSpaceDN w:val="0"/>
              <w:adjustRightInd w:val="0"/>
              <w:rPr>
                <w:rFonts w:ascii="Verdana" w:hAnsi="Verdana" w:cs="Tahoma"/>
                <w:szCs w:val="20"/>
              </w:rPr>
            </w:pPr>
          </w:p>
        </w:tc>
        <w:tc>
          <w:tcPr>
            <w:tcW w:w="1418" w:type="dxa"/>
            <w:shd w:val="clear" w:color="auto" w:fill="DBE5F1"/>
          </w:tcPr>
          <w:p w:rsidR="00687C0E" w:rsidRPr="00687C0E" w:rsidRDefault="00687C0E" w:rsidP="00446691">
            <w:pPr>
              <w:autoSpaceDE w:val="0"/>
              <w:autoSpaceDN w:val="0"/>
              <w:adjustRightInd w:val="0"/>
              <w:rPr>
                <w:rFonts w:ascii="Verdana" w:hAnsi="Verdana" w:cs="Tahoma"/>
                <w:b/>
                <w:bCs/>
                <w:szCs w:val="20"/>
              </w:rPr>
            </w:pPr>
            <w:r>
              <w:rPr>
                <w:rFonts w:ascii="Verdana" w:hAnsi="Verdana"/>
                <w:b/>
              </w:rPr>
              <w:t>&gt; 20 000 t</w:t>
            </w:r>
          </w:p>
          <w:p w:rsidR="00687C0E" w:rsidRPr="00687C0E" w:rsidRDefault="00687C0E" w:rsidP="00446691">
            <w:pPr>
              <w:autoSpaceDE w:val="0"/>
              <w:autoSpaceDN w:val="0"/>
              <w:adjustRightInd w:val="0"/>
              <w:rPr>
                <w:rFonts w:ascii="Verdana" w:hAnsi="Verdana" w:cs="Tahoma"/>
                <w:szCs w:val="20"/>
              </w:rPr>
            </w:pPr>
          </w:p>
        </w:tc>
      </w:tr>
      <w:tr w:rsidR="00687C0E" w:rsidRPr="00687C0E" w:rsidTr="007B1792">
        <w:trPr>
          <w:jc w:val="center"/>
        </w:trPr>
        <w:tc>
          <w:tcPr>
            <w:tcW w:w="2943" w:type="dxa"/>
          </w:tcPr>
          <w:p w:rsidR="00687C0E" w:rsidRPr="00687C0E" w:rsidRDefault="00687C0E" w:rsidP="00446691">
            <w:pPr>
              <w:autoSpaceDE w:val="0"/>
              <w:autoSpaceDN w:val="0"/>
              <w:adjustRightInd w:val="0"/>
              <w:rPr>
                <w:rFonts w:ascii="Verdana" w:hAnsi="Verdana" w:cs="Tahoma"/>
                <w:b/>
                <w:szCs w:val="20"/>
              </w:rPr>
            </w:pPr>
            <w:r>
              <w:rPr>
                <w:rFonts w:ascii="Verdana" w:hAnsi="Verdana"/>
                <w:b/>
              </w:rPr>
              <w:t>Dioxín</w:t>
            </w:r>
          </w:p>
        </w:tc>
        <w:tc>
          <w:tcPr>
            <w:tcW w:w="1418" w:type="dxa"/>
          </w:tcPr>
          <w:p w:rsidR="00687C0E" w:rsidRPr="00687C0E" w:rsidRDefault="00687C0E" w:rsidP="00446691">
            <w:pPr>
              <w:autoSpaceDE w:val="0"/>
              <w:autoSpaceDN w:val="0"/>
              <w:adjustRightInd w:val="0"/>
              <w:rPr>
                <w:rFonts w:ascii="Verdana" w:hAnsi="Verdana" w:cs="Tahoma"/>
                <w:szCs w:val="20"/>
              </w:rPr>
            </w:pPr>
            <w:r>
              <w:rPr>
                <w:rFonts w:ascii="Verdana" w:hAnsi="Verdana"/>
              </w:rPr>
              <w:t>2</w:t>
            </w:r>
          </w:p>
        </w:tc>
        <w:tc>
          <w:tcPr>
            <w:tcW w:w="1558" w:type="dxa"/>
          </w:tcPr>
          <w:p w:rsidR="00687C0E" w:rsidRPr="00687C0E" w:rsidRDefault="00687C0E" w:rsidP="00446691">
            <w:pPr>
              <w:autoSpaceDE w:val="0"/>
              <w:autoSpaceDN w:val="0"/>
              <w:adjustRightInd w:val="0"/>
              <w:rPr>
                <w:rFonts w:ascii="Verdana" w:hAnsi="Verdana" w:cs="Tahoma"/>
                <w:szCs w:val="20"/>
              </w:rPr>
            </w:pPr>
            <w:r>
              <w:rPr>
                <w:rFonts w:ascii="Verdana" w:hAnsi="Verdana"/>
              </w:rPr>
              <w:t>4</w:t>
            </w:r>
          </w:p>
        </w:tc>
        <w:tc>
          <w:tcPr>
            <w:tcW w:w="1418" w:type="dxa"/>
          </w:tcPr>
          <w:p w:rsidR="00687C0E" w:rsidRPr="00687C0E" w:rsidRDefault="00687C0E" w:rsidP="00446691">
            <w:pPr>
              <w:autoSpaceDE w:val="0"/>
              <w:autoSpaceDN w:val="0"/>
              <w:adjustRightInd w:val="0"/>
              <w:rPr>
                <w:rFonts w:ascii="Verdana" w:hAnsi="Verdana" w:cs="Tahoma"/>
                <w:szCs w:val="20"/>
              </w:rPr>
            </w:pPr>
            <w:r>
              <w:rPr>
                <w:rFonts w:ascii="Verdana" w:hAnsi="Verdana"/>
              </w:rPr>
              <w:t>4</w:t>
            </w:r>
          </w:p>
        </w:tc>
      </w:tr>
      <w:tr w:rsidR="00687C0E" w:rsidRPr="00687C0E" w:rsidTr="007B1792">
        <w:trPr>
          <w:jc w:val="center"/>
        </w:trPr>
        <w:tc>
          <w:tcPr>
            <w:tcW w:w="2943" w:type="dxa"/>
          </w:tcPr>
          <w:p w:rsidR="00687C0E" w:rsidRPr="00687C0E" w:rsidRDefault="00687C0E" w:rsidP="00446691">
            <w:pPr>
              <w:autoSpaceDE w:val="0"/>
              <w:autoSpaceDN w:val="0"/>
              <w:adjustRightInd w:val="0"/>
              <w:rPr>
                <w:rFonts w:ascii="Verdana" w:hAnsi="Verdana" w:cs="Tahoma"/>
                <w:b/>
                <w:szCs w:val="20"/>
              </w:rPr>
            </w:pPr>
            <w:r>
              <w:rPr>
                <w:rFonts w:ascii="Verdana" w:hAnsi="Verdana"/>
                <w:b/>
              </w:rPr>
              <w:t>Dioxínom podobný PCB</w:t>
            </w:r>
          </w:p>
        </w:tc>
        <w:tc>
          <w:tcPr>
            <w:tcW w:w="1418" w:type="dxa"/>
          </w:tcPr>
          <w:p w:rsidR="00687C0E" w:rsidRPr="00687C0E" w:rsidRDefault="00687C0E" w:rsidP="00446691">
            <w:pPr>
              <w:autoSpaceDE w:val="0"/>
              <w:autoSpaceDN w:val="0"/>
              <w:adjustRightInd w:val="0"/>
              <w:rPr>
                <w:rFonts w:ascii="Verdana" w:hAnsi="Verdana" w:cs="Tahoma"/>
                <w:szCs w:val="20"/>
              </w:rPr>
            </w:pPr>
            <w:r>
              <w:rPr>
                <w:rFonts w:ascii="Verdana" w:hAnsi="Verdana"/>
              </w:rPr>
              <w:t>2</w:t>
            </w:r>
          </w:p>
        </w:tc>
        <w:tc>
          <w:tcPr>
            <w:tcW w:w="1558" w:type="dxa"/>
          </w:tcPr>
          <w:p w:rsidR="00687C0E" w:rsidRPr="00687C0E" w:rsidRDefault="00687C0E" w:rsidP="00446691">
            <w:pPr>
              <w:autoSpaceDE w:val="0"/>
              <w:autoSpaceDN w:val="0"/>
              <w:adjustRightInd w:val="0"/>
              <w:rPr>
                <w:rFonts w:ascii="Verdana" w:hAnsi="Verdana" w:cs="Tahoma"/>
                <w:szCs w:val="20"/>
              </w:rPr>
            </w:pPr>
            <w:r>
              <w:rPr>
                <w:rFonts w:ascii="Verdana" w:hAnsi="Verdana"/>
              </w:rPr>
              <w:t>4</w:t>
            </w:r>
          </w:p>
        </w:tc>
        <w:tc>
          <w:tcPr>
            <w:tcW w:w="1418" w:type="dxa"/>
          </w:tcPr>
          <w:p w:rsidR="00687C0E" w:rsidRPr="00687C0E" w:rsidRDefault="00687C0E" w:rsidP="00446691">
            <w:pPr>
              <w:autoSpaceDE w:val="0"/>
              <w:autoSpaceDN w:val="0"/>
              <w:adjustRightInd w:val="0"/>
              <w:rPr>
                <w:rFonts w:ascii="Verdana" w:hAnsi="Verdana" w:cs="Tahoma"/>
                <w:szCs w:val="20"/>
              </w:rPr>
            </w:pPr>
            <w:r>
              <w:rPr>
                <w:rFonts w:ascii="Verdana" w:hAnsi="Verdana"/>
              </w:rPr>
              <w:t>4</w:t>
            </w:r>
          </w:p>
        </w:tc>
      </w:tr>
      <w:tr w:rsidR="00687C0E" w:rsidRPr="00687C0E" w:rsidTr="007B1792">
        <w:trPr>
          <w:jc w:val="center"/>
        </w:trPr>
        <w:tc>
          <w:tcPr>
            <w:tcW w:w="2943" w:type="dxa"/>
          </w:tcPr>
          <w:p w:rsidR="00687C0E" w:rsidRPr="00687C0E" w:rsidRDefault="00687C0E" w:rsidP="00446691">
            <w:pPr>
              <w:autoSpaceDE w:val="0"/>
              <w:autoSpaceDN w:val="0"/>
              <w:adjustRightInd w:val="0"/>
              <w:rPr>
                <w:rFonts w:ascii="Verdana" w:hAnsi="Verdana" w:cs="Tahoma"/>
                <w:b/>
                <w:szCs w:val="20"/>
              </w:rPr>
            </w:pPr>
            <w:r>
              <w:rPr>
                <w:rFonts w:ascii="Verdana" w:hAnsi="Verdana"/>
                <w:b/>
              </w:rPr>
              <w:t>Dioxínom nepodobný PCB</w:t>
            </w:r>
          </w:p>
        </w:tc>
        <w:tc>
          <w:tcPr>
            <w:tcW w:w="1418" w:type="dxa"/>
          </w:tcPr>
          <w:p w:rsidR="00687C0E" w:rsidRPr="00687C0E" w:rsidRDefault="00687C0E" w:rsidP="00446691">
            <w:pPr>
              <w:autoSpaceDE w:val="0"/>
              <w:autoSpaceDN w:val="0"/>
              <w:adjustRightInd w:val="0"/>
              <w:rPr>
                <w:rFonts w:ascii="Verdana" w:hAnsi="Verdana" w:cs="Tahoma"/>
                <w:szCs w:val="20"/>
              </w:rPr>
            </w:pPr>
            <w:r>
              <w:rPr>
                <w:rFonts w:ascii="Verdana" w:hAnsi="Verdana"/>
              </w:rPr>
              <w:t>2</w:t>
            </w:r>
          </w:p>
        </w:tc>
        <w:tc>
          <w:tcPr>
            <w:tcW w:w="1558" w:type="dxa"/>
          </w:tcPr>
          <w:p w:rsidR="00687C0E" w:rsidRPr="00687C0E" w:rsidRDefault="00687C0E" w:rsidP="00446691">
            <w:pPr>
              <w:autoSpaceDE w:val="0"/>
              <w:autoSpaceDN w:val="0"/>
              <w:adjustRightInd w:val="0"/>
              <w:rPr>
                <w:rFonts w:ascii="Verdana" w:hAnsi="Verdana" w:cs="Tahoma"/>
                <w:szCs w:val="20"/>
              </w:rPr>
            </w:pPr>
            <w:r>
              <w:rPr>
                <w:rFonts w:ascii="Verdana" w:hAnsi="Verdana"/>
              </w:rPr>
              <w:t>4</w:t>
            </w:r>
          </w:p>
        </w:tc>
        <w:tc>
          <w:tcPr>
            <w:tcW w:w="1418" w:type="dxa"/>
          </w:tcPr>
          <w:p w:rsidR="00687C0E" w:rsidRPr="00687C0E" w:rsidRDefault="00687C0E" w:rsidP="00446691">
            <w:pPr>
              <w:autoSpaceDE w:val="0"/>
              <w:autoSpaceDN w:val="0"/>
              <w:adjustRightInd w:val="0"/>
              <w:rPr>
                <w:rFonts w:ascii="Verdana" w:hAnsi="Verdana" w:cs="Tahoma"/>
                <w:szCs w:val="20"/>
              </w:rPr>
            </w:pPr>
            <w:r>
              <w:rPr>
                <w:rFonts w:ascii="Verdana" w:hAnsi="Verdana"/>
              </w:rPr>
              <w:t>4</w:t>
            </w:r>
          </w:p>
        </w:tc>
      </w:tr>
      <w:tr w:rsidR="00687C0E" w:rsidRPr="00687C0E" w:rsidTr="007B1792">
        <w:trPr>
          <w:jc w:val="center"/>
        </w:trPr>
        <w:tc>
          <w:tcPr>
            <w:tcW w:w="2943" w:type="dxa"/>
          </w:tcPr>
          <w:p w:rsidR="00687C0E" w:rsidRPr="00687C0E" w:rsidRDefault="00687C0E" w:rsidP="00D77B82">
            <w:pPr>
              <w:autoSpaceDE w:val="0"/>
              <w:autoSpaceDN w:val="0"/>
              <w:adjustRightInd w:val="0"/>
              <w:rPr>
                <w:rFonts w:ascii="Verdana" w:hAnsi="Verdana" w:cs="Tahoma"/>
                <w:b/>
                <w:szCs w:val="20"/>
              </w:rPr>
            </w:pPr>
            <w:r>
              <w:rPr>
                <w:rFonts w:ascii="Verdana" w:hAnsi="Verdana"/>
                <w:b/>
              </w:rPr>
              <w:t>Salmonela</w:t>
            </w:r>
          </w:p>
        </w:tc>
        <w:tc>
          <w:tcPr>
            <w:tcW w:w="1418" w:type="dxa"/>
          </w:tcPr>
          <w:p w:rsidR="00687C0E" w:rsidRPr="00687C0E" w:rsidRDefault="00687C0E" w:rsidP="00446691">
            <w:pPr>
              <w:autoSpaceDE w:val="0"/>
              <w:autoSpaceDN w:val="0"/>
              <w:adjustRightInd w:val="0"/>
              <w:rPr>
                <w:rFonts w:ascii="Verdana" w:hAnsi="Verdana" w:cs="Tahoma"/>
                <w:szCs w:val="20"/>
              </w:rPr>
            </w:pPr>
            <w:r>
              <w:rPr>
                <w:rFonts w:ascii="Verdana" w:hAnsi="Verdana"/>
              </w:rPr>
              <w:t>2</w:t>
            </w:r>
          </w:p>
        </w:tc>
        <w:tc>
          <w:tcPr>
            <w:tcW w:w="1558" w:type="dxa"/>
          </w:tcPr>
          <w:p w:rsidR="00687C0E" w:rsidRPr="00687C0E" w:rsidRDefault="00687C0E" w:rsidP="00446691">
            <w:pPr>
              <w:autoSpaceDE w:val="0"/>
              <w:autoSpaceDN w:val="0"/>
              <w:adjustRightInd w:val="0"/>
              <w:rPr>
                <w:rFonts w:ascii="Verdana" w:hAnsi="Verdana" w:cs="Tahoma"/>
                <w:szCs w:val="20"/>
              </w:rPr>
            </w:pPr>
            <w:r>
              <w:rPr>
                <w:rFonts w:ascii="Verdana" w:hAnsi="Verdana"/>
              </w:rPr>
              <w:t>3</w:t>
            </w:r>
          </w:p>
        </w:tc>
        <w:tc>
          <w:tcPr>
            <w:tcW w:w="1418" w:type="dxa"/>
          </w:tcPr>
          <w:p w:rsidR="00687C0E" w:rsidRPr="00687C0E" w:rsidRDefault="00687C0E" w:rsidP="00446691">
            <w:pPr>
              <w:autoSpaceDE w:val="0"/>
              <w:autoSpaceDN w:val="0"/>
              <w:adjustRightInd w:val="0"/>
              <w:rPr>
                <w:rFonts w:ascii="Verdana" w:hAnsi="Verdana" w:cs="Tahoma"/>
                <w:szCs w:val="20"/>
              </w:rPr>
            </w:pPr>
            <w:r>
              <w:rPr>
                <w:rFonts w:ascii="Verdana" w:hAnsi="Verdana"/>
              </w:rPr>
              <w:t>4</w:t>
            </w:r>
          </w:p>
        </w:tc>
      </w:tr>
      <w:tr w:rsidR="00D77B82" w:rsidRPr="00687C0E" w:rsidTr="007B1792">
        <w:trPr>
          <w:jc w:val="center"/>
        </w:trPr>
        <w:tc>
          <w:tcPr>
            <w:tcW w:w="2943" w:type="dxa"/>
          </w:tcPr>
          <w:p w:rsidR="00D77B82" w:rsidRPr="00687C0E" w:rsidRDefault="00D77B82" w:rsidP="00446691">
            <w:pPr>
              <w:autoSpaceDE w:val="0"/>
              <w:autoSpaceDN w:val="0"/>
              <w:adjustRightInd w:val="0"/>
              <w:rPr>
                <w:rFonts w:ascii="Verdana" w:hAnsi="Verdana" w:cs="Tahoma"/>
                <w:b/>
                <w:szCs w:val="20"/>
              </w:rPr>
            </w:pPr>
            <w:r>
              <w:rPr>
                <w:rFonts w:ascii="Verdana" w:hAnsi="Verdana"/>
                <w:b/>
              </w:rPr>
              <w:t>Ťažké kovy (Pb, Cd, As, Hg)</w:t>
            </w:r>
          </w:p>
        </w:tc>
        <w:tc>
          <w:tcPr>
            <w:tcW w:w="1418" w:type="dxa"/>
          </w:tcPr>
          <w:p w:rsidR="00D77B82" w:rsidRPr="00687C0E" w:rsidRDefault="00D77B82" w:rsidP="00AA6A8C">
            <w:pPr>
              <w:autoSpaceDE w:val="0"/>
              <w:autoSpaceDN w:val="0"/>
              <w:adjustRightInd w:val="0"/>
              <w:rPr>
                <w:rFonts w:ascii="Verdana" w:hAnsi="Verdana" w:cs="Tahoma"/>
                <w:szCs w:val="20"/>
              </w:rPr>
            </w:pPr>
            <w:r>
              <w:rPr>
                <w:rFonts w:ascii="Verdana" w:hAnsi="Verdana"/>
              </w:rPr>
              <w:t>2</w:t>
            </w:r>
          </w:p>
        </w:tc>
        <w:tc>
          <w:tcPr>
            <w:tcW w:w="1558" w:type="dxa"/>
          </w:tcPr>
          <w:p w:rsidR="00D77B82" w:rsidRPr="00687C0E" w:rsidRDefault="00D77B82" w:rsidP="00AA6A8C">
            <w:pPr>
              <w:autoSpaceDE w:val="0"/>
              <w:autoSpaceDN w:val="0"/>
              <w:adjustRightInd w:val="0"/>
              <w:rPr>
                <w:rFonts w:ascii="Verdana" w:hAnsi="Verdana" w:cs="Tahoma"/>
                <w:szCs w:val="20"/>
              </w:rPr>
            </w:pPr>
            <w:r>
              <w:rPr>
                <w:rFonts w:ascii="Verdana" w:hAnsi="Verdana"/>
              </w:rPr>
              <w:t>3</w:t>
            </w:r>
          </w:p>
        </w:tc>
        <w:tc>
          <w:tcPr>
            <w:tcW w:w="1418" w:type="dxa"/>
          </w:tcPr>
          <w:p w:rsidR="00D77B82" w:rsidRPr="00687C0E" w:rsidRDefault="00D77B82" w:rsidP="00AA6A8C">
            <w:pPr>
              <w:autoSpaceDE w:val="0"/>
              <w:autoSpaceDN w:val="0"/>
              <w:adjustRightInd w:val="0"/>
              <w:rPr>
                <w:rFonts w:ascii="Verdana" w:hAnsi="Verdana" w:cs="Tahoma"/>
                <w:szCs w:val="20"/>
              </w:rPr>
            </w:pPr>
            <w:r>
              <w:rPr>
                <w:rFonts w:ascii="Verdana" w:hAnsi="Verdana"/>
              </w:rPr>
              <w:t>4</w:t>
            </w:r>
          </w:p>
        </w:tc>
      </w:tr>
      <w:tr w:rsidR="00D77B82" w:rsidRPr="00687C0E" w:rsidTr="007B1792">
        <w:trPr>
          <w:jc w:val="center"/>
        </w:trPr>
        <w:tc>
          <w:tcPr>
            <w:tcW w:w="2943" w:type="dxa"/>
          </w:tcPr>
          <w:p w:rsidR="00D77B82" w:rsidRPr="00687C0E" w:rsidRDefault="00D77B82" w:rsidP="00446691">
            <w:pPr>
              <w:autoSpaceDE w:val="0"/>
              <w:autoSpaceDN w:val="0"/>
              <w:adjustRightInd w:val="0"/>
              <w:rPr>
                <w:rFonts w:ascii="Verdana" w:hAnsi="Verdana" w:cs="Tahoma"/>
                <w:b/>
                <w:szCs w:val="20"/>
              </w:rPr>
            </w:pPr>
            <w:r>
              <w:rPr>
                <w:rFonts w:ascii="Verdana" w:hAnsi="Verdana"/>
                <w:b/>
              </w:rPr>
              <w:t>Pesticídy</w:t>
            </w:r>
          </w:p>
        </w:tc>
        <w:tc>
          <w:tcPr>
            <w:tcW w:w="1418" w:type="dxa"/>
          </w:tcPr>
          <w:p w:rsidR="00D77B82" w:rsidRPr="00687C0E" w:rsidRDefault="00D77B82" w:rsidP="00446691">
            <w:pPr>
              <w:autoSpaceDE w:val="0"/>
              <w:autoSpaceDN w:val="0"/>
              <w:adjustRightInd w:val="0"/>
              <w:rPr>
                <w:rFonts w:ascii="Verdana" w:hAnsi="Verdana" w:cs="Tahoma"/>
                <w:szCs w:val="20"/>
              </w:rPr>
            </w:pPr>
            <w:r>
              <w:rPr>
                <w:rFonts w:ascii="Verdana" w:hAnsi="Verdana"/>
              </w:rPr>
              <w:t>2</w:t>
            </w:r>
          </w:p>
        </w:tc>
        <w:tc>
          <w:tcPr>
            <w:tcW w:w="1558" w:type="dxa"/>
          </w:tcPr>
          <w:p w:rsidR="00D77B82" w:rsidRPr="00687C0E" w:rsidRDefault="00D77B82" w:rsidP="00446691">
            <w:pPr>
              <w:autoSpaceDE w:val="0"/>
              <w:autoSpaceDN w:val="0"/>
              <w:adjustRightInd w:val="0"/>
              <w:rPr>
                <w:rFonts w:ascii="Verdana" w:hAnsi="Verdana" w:cs="Tahoma"/>
                <w:szCs w:val="20"/>
              </w:rPr>
            </w:pPr>
            <w:r>
              <w:rPr>
                <w:rFonts w:ascii="Verdana" w:hAnsi="Verdana"/>
              </w:rPr>
              <w:t>2</w:t>
            </w:r>
          </w:p>
        </w:tc>
        <w:tc>
          <w:tcPr>
            <w:tcW w:w="1418" w:type="dxa"/>
          </w:tcPr>
          <w:p w:rsidR="00D77B82" w:rsidRPr="00687C0E" w:rsidRDefault="00D77B82" w:rsidP="00446691">
            <w:pPr>
              <w:autoSpaceDE w:val="0"/>
              <w:autoSpaceDN w:val="0"/>
              <w:adjustRightInd w:val="0"/>
              <w:rPr>
                <w:rFonts w:ascii="Verdana" w:hAnsi="Verdana" w:cs="Tahoma"/>
                <w:szCs w:val="20"/>
              </w:rPr>
            </w:pPr>
            <w:r>
              <w:rPr>
                <w:rFonts w:ascii="Verdana" w:hAnsi="Verdana"/>
              </w:rPr>
              <w:t>2</w:t>
            </w:r>
          </w:p>
        </w:tc>
      </w:tr>
      <w:tr w:rsidR="00D77B82" w:rsidRPr="00687C0E" w:rsidTr="007B1792">
        <w:trPr>
          <w:jc w:val="center"/>
        </w:trPr>
        <w:tc>
          <w:tcPr>
            <w:tcW w:w="2943" w:type="dxa"/>
          </w:tcPr>
          <w:p w:rsidR="00D77B82" w:rsidRPr="00687C0E" w:rsidRDefault="00D77B82" w:rsidP="00446691">
            <w:pPr>
              <w:autoSpaceDE w:val="0"/>
              <w:autoSpaceDN w:val="0"/>
              <w:adjustRightInd w:val="0"/>
              <w:rPr>
                <w:rFonts w:ascii="Verdana" w:hAnsi="Verdana" w:cs="Tahoma"/>
                <w:b/>
                <w:szCs w:val="20"/>
              </w:rPr>
            </w:pPr>
            <w:r>
              <w:rPr>
                <w:rFonts w:ascii="Verdana" w:hAnsi="Verdana"/>
                <w:b/>
              </w:rPr>
              <w:t>Metanol*</w:t>
            </w:r>
          </w:p>
        </w:tc>
        <w:tc>
          <w:tcPr>
            <w:tcW w:w="1418" w:type="dxa"/>
          </w:tcPr>
          <w:p w:rsidR="00D77B82" w:rsidRPr="00687C0E" w:rsidRDefault="00D77B82" w:rsidP="00446691">
            <w:pPr>
              <w:autoSpaceDE w:val="0"/>
              <w:autoSpaceDN w:val="0"/>
              <w:adjustRightInd w:val="0"/>
              <w:rPr>
                <w:rFonts w:ascii="Verdana" w:hAnsi="Verdana" w:cs="Tahoma"/>
                <w:szCs w:val="20"/>
              </w:rPr>
            </w:pPr>
            <w:r>
              <w:rPr>
                <w:rFonts w:ascii="Verdana" w:hAnsi="Verdana"/>
              </w:rPr>
              <w:t>2</w:t>
            </w:r>
          </w:p>
        </w:tc>
        <w:tc>
          <w:tcPr>
            <w:tcW w:w="1558" w:type="dxa"/>
          </w:tcPr>
          <w:p w:rsidR="00D77B82" w:rsidRPr="00687C0E" w:rsidRDefault="00D77B82" w:rsidP="00446691">
            <w:pPr>
              <w:autoSpaceDE w:val="0"/>
              <w:autoSpaceDN w:val="0"/>
              <w:adjustRightInd w:val="0"/>
              <w:rPr>
                <w:rFonts w:ascii="Verdana" w:hAnsi="Verdana" w:cs="Tahoma"/>
                <w:szCs w:val="20"/>
              </w:rPr>
            </w:pPr>
            <w:r>
              <w:rPr>
                <w:rFonts w:ascii="Verdana" w:hAnsi="Verdana"/>
              </w:rPr>
              <w:t>3</w:t>
            </w:r>
          </w:p>
        </w:tc>
        <w:tc>
          <w:tcPr>
            <w:tcW w:w="1418" w:type="dxa"/>
          </w:tcPr>
          <w:p w:rsidR="00D77B82" w:rsidRPr="00687C0E" w:rsidRDefault="00D77B82" w:rsidP="00446691">
            <w:pPr>
              <w:autoSpaceDE w:val="0"/>
              <w:autoSpaceDN w:val="0"/>
              <w:adjustRightInd w:val="0"/>
              <w:rPr>
                <w:rFonts w:ascii="Verdana" w:hAnsi="Verdana" w:cs="Tahoma"/>
                <w:szCs w:val="20"/>
              </w:rPr>
            </w:pPr>
            <w:r>
              <w:rPr>
                <w:rFonts w:ascii="Verdana" w:hAnsi="Verdana"/>
              </w:rPr>
              <w:t>4</w:t>
            </w:r>
          </w:p>
        </w:tc>
      </w:tr>
    </w:tbl>
    <w:p w:rsidR="00AB104D" w:rsidRPr="00687C0E" w:rsidRDefault="00427188" w:rsidP="007B1792">
      <w:pPr>
        <w:autoSpaceDE w:val="0"/>
        <w:autoSpaceDN w:val="0"/>
        <w:adjustRightInd w:val="0"/>
        <w:ind w:left="708"/>
        <w:rPr>
          <w:rFonts w:ascii="Verdana" w:hAnsi="Verdana" w:cs="Tahoma"/>
          <w:szCs w:val="20"/>
        </w:rPr>
      </w:pPr>
      <w:r>
        <w:rPr>
          <w:rFonts w:ascii="Verdana" w:hAnsi="Verdana"/>
        </w:rPr>
        <w:t>* Skúšky metanolu len v surovom glyceríne.</w:t>
      </w:r>
    </w:p>
    <w:p w:rsidR="000D43B8" w:rsidRPr="008E1E10" w:rsidRDefault="000D43B8" w:rsidP="008E1E10">
      <w:pPr>
        <w:tabs>
          <w:tab w:val="left" w:pos="6945"/>
        </w:tabs>
        <w:rPr>
          <w:rFonts w:ascii="Verdana" w:hAnsi="Verdana" w:cs="Tahoma"/>
          <w:szCs w:val="20"/>
        </w:rPr>
      </w:pPr>
    </w:p>
    <w:sectPr w:rsidR="000D43B8" w:rsidRPr="008E1E10" w:rsidSect="002C35C6">
      <w:headerReference w:type="default" r:id="rId24"/>
      <w:pgSz w:w="12240" w:h="15840"/>
      <w:pgMar w:top="851" w:right="1325" w:bottom="851" w:left="18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097" w:rsidRDefault="00A43097">
      <w:r>
        <w:separator/>
      </w:r>
    </w:p>
  </w:endnote>
  <w:endnote w:type="continuationSeparator" w:id="0">
    <w:p w:rsidR="00A43097" w:rsidRDefault="00A4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altName w:val="Nyala"/>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tique Olive">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97" w:rsidRDefault="00A43097" w:rsidP="00624A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3097" w:rsidRDefault="00A43097" w:rsidP="007541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97" w:rsidRDefault="00A43097" w:rsidP="008E1E10">
    <w:pPr>
      <w:pStyle w:val="Footer"/>
      <w:framePr w:wrap="around" w:vAnchor="text" w:hAnchor="page" w:x="10711" w:yAlign="top"/>
      <w:rPr>
        <w:rStyle w:val="PageNumber"/>
      </w:rPr>
    </w:pPr>
    <w:r>
      <w:rPr>
        <w:rStyle w:val="PageNumber"/>
      </w:rPr>
      <w:fldChar w:fldCharType="begin"/>
    </w:r>
    <w:r>
      <w:rPr>
        <w:rStyle w:val="PageNumber"/>
      </w:rPr>
      <w:instrText xml:space="preserve">PAGE  </w:instrText>
    </w:r>
    <w:r>
      <w:rPr>
        <w:rStyle w:val="PageNumber"/>
      </w:rPr>
      <w:fldChar w:fldCharType="separate"/>
    </w:r>
    <w:r w:rsidR="00123583">
      <w:rPr>
        <w:rStyle w:val="PageNumber"/>
        <w:noProof/>
      </w:rPr>
      <w:t>10</w:t>
    </w:r>
    <w:r>
      <w:rPr>
        <w:rStyle w:val="PageNumber"/>
      </w:rPr>
      <w:fldChar w:fldCharType="end"/>
    </w:r>
  </w:p>
  <w:p w:rsidR="00A43097" w:rsidRPr="00E44357" w:rsidRDefault="00A43097" w:rsidP="005C03F3">
    <w:pPr>
      <w:pStyle w:val="Title"/>
      <w:jc w:val="left"/>
      <w:rPr>
        <w:rFonts w:ascii="Verdana" w:hAnsi="Verdana"/>
        <w:b w:val="0"/>
        <w:i/>
        <w:color w:val="4F81BD"/>
        <w:sz w:val="18"/>
        <w:szCs w:val="18"/>
        <w:u w:val="none"/>
      </w:rPr>
    </w:pPr>
    <w:r>
      <w:rPr>
        <w:rFonts w:ascii="Verdana" w:hAnsi="Verdana"/>
        <w:b w:val="0"/>
        <w:i/>
        <w:color w:val="4F81BD"/>
        <w:sz w:val="18"/>
        <w:u w:val="none"/>
      </w:rPr>
      <w:t>Príručka EFISC – Referenčný odvetvový dokument o výrobe bezpečných kŕmnych surovín zo spracovania bionafty</w:t>
    </w:r>
  </w:p>
  <w:p w:rsidR="00A43097" w:rsidRDefault="00A43097" w:rsidP="007541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097" w:rsidRDefault="00A43097">
      <w:r>
        <w:separator/>
      </w:r>
    </w:p>
  </w:footnote>
  <w:footnote w:type="continuationSeparator" w:id="0">
    <w:p w:rsidR="00A43097" w:rsidRDefault="00A43097">
      <w:r>
        <w:continuationSeparator/>
      </w:r>
    </w:p>
  </w:footnote>
  <w:footnote w:id="1">
    <w:p w:rsidR="00A43097" w:rsidRDefault="00A43097" w:rsidP="00A246EB">
      <w:pPr>
        <w:autoSpaceDE w:val="0"/>
        <w:autoSpaceDN w:val="0"/>
        <w:adjustRightInd w:val="0"/>
        <w:rPr>
          <w:rFonts w:cs="Tahoma"/>
          <w:bCs/>
          <w:szCs w:val="20"/>
          <w:lang w:val="en-US" w:eastAsia="fr-BE"/>
        </w:rPr>
      </w:pPr>
      <w:r>
        <w:rPr>
          <w:rStyle w:val="FootnoteReference"/>
        </w:rPr>
        <w:footnoteRef/>
      </w:r>
      <w:r>
        <w:t xml:space="preserve"> Referenčný odvetvový dokument FEDIOL-u: Príloha 4 k Príručke Spoločenstva pre správnu prax pre výrobu bezpečných kŕmnych surovín: </w:t>
      </w:r>
    </w:p>
    <w:p w:rsidR="00A43097" w:rsidRPr="00D6395C" w:rsidRDefault="00A43097" w:rsidP="00A246EB">
      <w:pPr>
        <w:autoSpaceDE w:val="0"/>
        <w:autoSpaceDN w:val="0"/>
        <w:adjustRightInd w:val="0"/>
        <w:rPr>
          <w:rFonts w:ascii="Verdana" w:hAnsi="Verdana" w:cs="Tahoma"/>
          <w:bCs/>
          <w:sz w:val="16"/>
          <w:szCs w:val="16"/>
          <w:lang w:val="en-US" w:eastAsia="fr-BE"/>
        </w:rPr>
      </w:pPr>
      <w:hyperlink r:id="rId1">
        <w:r>
          <w:rPr>
            <w:rStyle w:val="Hyperlink"/>
            <w:rFonts w:ascii="Verdana" w:hAnsi="Verdana"/>
            <w:sz w:val="16"/>
          </w:rPr>
          <w:t>http://www.efisc.eu/data/14168338154.%20Sector%20ref%20doc%20on%20oilseed%20crushing%20and%20veg%20oil%20refining%20version%203.1.pdf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97" w:rsidRPr="00197C5A" w:rsidRDefault="00A43097" w:rsidP="00183009">
    <w:pPr>
      <w:pStyle w:val="Header"/>
      <w:tabs>
        <w:tab w:val="clear" w:pos="4536"/>
        <w:tab w:val="clear" w:pos="9072"/>
        <w:tab w:val="right" w:pos="8789"/>
      </w:tabs>
      <w:jc w:val="both"/>
      <w:rPr>
        <w:b/>
        <w:sz w:val="24"/>
        <w:u w:val="single"/>
      </w:rPr>
    </w:pPr>
    <w:r>
      <w:tab/>
    </w:r>
  </w:p>
  <w:p w:rsidR="00A43097" w:rsidRPr="00197C5A" w:rsidRDefault="00A43097" w:rsidP="00E33DAE">
    <w:pPr>
      <w:pStyle w:val="Header"/>
      <w:tabs>
        <w:tab w:val="clear" w:pos="4536"/>
        <w:tab w:val="clear" w:pos="9072"/>
        <w:tab w:val="right" w:pos="8789"/>
      </w:tabs>
      <w:jc w:val="both"/>
      <w:rPr>
        <w:b/>
        <w:sz w:val="24"/>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97" w:rsidRPr="00197C5A" w:rsidRDefault="00E4332E" w:rsidP="00183009">
    <w:pPr>
      <w:pStyle w:val="Header"/>
      <w:tabs>
        <w:tab w:val="clear" w:pos="4536"/>
        <w:tab w:val="clear" w:pos="9072"/>
        <w:tab w:val="right" w:pos="8789"/>
      </w:tabs>
      <w:rPr>
        <w:b/>
        <w:sz w:val="24"/>
        <w:u w:val="single"/>
      </w:rPr>
    </w:pPr>
    <w:r>
      <w:rPr>
        <w:noProof/>
        <w:lang w:val="en-GB" w:eastAsia="en-GB" w:bidi="ar-SA"/>
      </w:rPr>
      <mc:AlternateContent>
        <mc:Choice Requires="wps">
          <w:drawing>
            <wp:anchor distT="0" distB="0" distL="114300" distR="114300" simplePos="0" relativeHeight="251658240" behindDoc="0" locked="0" layoutInCell="1" allowOverlap="1" wp14:anchorId="3234146E" wp14:editId="1300A112">
              <wp:simplePos x="0" y="0"/>
              <wp:positionH relativeFrom="column">
                <wp:posOffset>2144395</wp:posOffset>
              </wp:positionH>
              <wp:positionV relativeFrom="paragraph">
                <wp:posOffset>-123825</wp:posOffset>
              </wp:positionV>
              <wp:extent cx="4921885" cy="323850"/>
              <wp:effectExtent l="0" t="0" r="12065"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323850"/>
                      </a:xfrm>
                      <a:prstGeom prst="rect">
                        <a:avLst/>
                      </a:prstGeom>
                      <a:solidFill>
                        <a:srgbClr val="FFFFFF"/>
                      </a:solidFill>
                      <a:ln w="9525">
                        <a:solidFill>
                          <a:srgbClr val="FFFFFF"/>
                        </a:solidFill>
                        <a:miter lim="800000"/>
                        <a:headEnd/>
                        <a:tailEnd/>
                      </a:ln>
                    </wps:spPr>
                    <wps:txbx>
                      <w:txbxContent>
                        <w:p w:rsidR="00A43097" w:rsidRDefault="00A43097" w:rsidP="00183009">
                          <w:pPr>
                            <w:widowControl w:val="0"/>
                          </w:pPr>
                          <w:r>
                            <w:rPr>
                              <w:rFonts w:ascii="Arial Rounded MT Bold" w:hAnsi="Arial Rounded MT Bold"/>
                              <w:sz w:val="28"/>
                            </w:rPr>
                            <w:t xml:space="preserve">Analýza rizík reťazca spracovania bionafty </w:t>
                          </w:r>
                        </w:p>
                        <w:p w:rsidR="00A43097" w:rsidRDefault="00A430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168.85pt;margin-top:-9.75pt;width:387.5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" strokecolor="white">
              <v:textbox>
                <w:txbxContent>
                  <w:p w:rsidR="00A43097" w:rsidRDefault="00A43097" w:rsidP="00183009">
                    <w:pPr>
                      <w:widowControl w:val="0"/>
                    </w:pPr>
                    <w:r>
                      <w:rPr>
                        <w:rFonts w:ascii="Arial Rounded MT Bold" w:hAnsi="Arial Rounded MT Bold"/>
                        <w:sz w:val="28"/>
                      </w:rPr>
                      <w:t xml:space="preserve">Analýza rizík reťazca spracovania bionafty </w:t>
                    </w:r>
                  </w:p>
                  <w:p w:rsidR="00A43097" w:rsidRDefault="00A43097"/>
                </w:txbxContent>
              </v:textbox>
            </v:shape>
          </w:pict>
        </mc:Fallback>
      </mc:AlternateContent>
    </w:r>
    <w:r>
      <w:rPr>
        <w:noProof/>
        <w:lang w:val="en-GB" w:eastAsia="en-GB" w:bidi="ar-SA"/>
      </w:rPr>
      <mc:AlternateContent>
        <mc:Choice Requires="wps">
          <w:drawing>
            <wp:anchor distT="0" distB="0" distL="114300" distR="114300" simplePos="0" relativeHeight="251657216" behindDoc="0" locked="0" layoutInCell="1" allowOverlap="1" wp14:anchorId="62893A81" wp14:editId="45964DD1">
              <wp:simplePos x="0" y="0"/>
              <wp:positionH relativeFrom="column">
                <wp:posOffset>154940</wp:posOffset>
              </wp:positionH>
              <wp:positionV relativeFrom="paragraph">
                <wp:posOffset>-323850</wp:posOffset>
              </wp:positionV>
              <wp:extent cx="2838450" cy="779145"/>
              <wp:effectExtent l="0" t="0" r="19050" b="215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779145"/>
                      </a:xfrm>
                      <a:prstGeom prst="rect">
                        <a:avLst/>
                      </a:prstGeom>
                      <a:solidFill>
                        <a:srgbClr val="FFFFFF"/>
                      </a:solidFill>
                      <a:ln w="9525">
                        <a:solidFill>
                          <a:srgbClr val="FFFFFF"/>
                        </a:solidFill>
                        <a:miter lim="800000"/>
                        <a:headEnd/>
                        <a:tailEnd/>
                      </a:ln>
                    </wps:spPr>
                    <wps:txbx>
                      <w:txbxContent>
                        <w:p w:rsidR="00A43097" w:rsidRPr="00A80199" w:rsidRDefault="00A43097" w:rsidP="00183009">
                          <w:pPr>
                            <w:widowControl w:val="0"/>
                            <w:rPr>
                              <w:rFonts w:ascii="Arial Narrow" w:hAnsi="Arial Narrow"/>
                              <w:color w:val="00B050"/>
                              <w:sz w:val="72"/>
                              <w:szCs w:val="72"/>
                            </w:rPr>
                          </w:pPr>
                          <w:r>
                            <w:rPr>
                              <w:rFonts w:ascii="Arial Narrow" w:hAnsi="Arial Narrow"/>
                              <w:color w:val="00B050"/>
                              <w:sz w:val="72"/>
                            </w:rPr>
                            <w:t>Krmivá</w:t>
                          </w:r>
                        </w:p>
                        <w:p w:rsidR="00A43097" w:rsidRDefault="00A4309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1" type="#_x0000_t202" style="position:absolute;margin-left:12.2pt;margin-top:-25.5pt;width:223.5pt;height:61.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" strokecolor="white">
              <v:textbox style="mso-fit-shape-to-text:t">
                <w:txbxContent>
                  <w:p w:rsidR="00A43097" w:rsidRPr="00A80199" w:rsidRDefault="00A43097" w:rsidP="00183009">
                    <w:pPr>
                      <w:widowControl w:val="0"/>
                      <w:rPr>
                        <w:rFonts w:ascii="Arial Narrow" w:hAnsi="Arial Narrow"/>
                        <w:color w:val="00B050"/>
                        <w:sz w:val="72"/>
                        <w:szCs w:val="72"/>
                      </w:rPr>
                    </w:pPr>
                    <w:r>
                      <w:rPr>
                        <w:rFonts w:ascii="Arial Narrow" w:hAnsi="Arial Narrow"/>
                        <w:color w:val="00B050"/>
                        <w:sz w:val="72"/>
                      </w:rPr>
                      <w:t>Krmivá</w:t>
                    </w:r>
                  </w:p>
                  <w:p w:rsidR="00A43097" w:rsidRDefault="00A43097"/>
                </w:txbxContent>
              </v:textbox>
            </v:shape>
          </w:pict>
        </mc:Fallback>
      </mc:AlternateContent>
    </w:r>
    <w:r w:rsidR="00A43097">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97" w:rsidRPr="00197C5A" w:rsidRDefault="00A43097" w:rsidP="00183009">
    <w:pPr>
      <w:pStyle w:val="Header"/>
      <w:tabs>
        <w:tab w:val="clear" w:pos="4536"/>
        <w:tab w:val="clear" w:pos="9072"/>
        <w:tab w:val="right" w:pos="8789"/>
      </w:tabs>
      <w:rPr>
        <w:b/>
        <w:sz w:val="24"/>
        <w:u w:val="single"/>
      </w:rPr>
    </w:pPr>
    <w:r>
      <w:rPr>
        <w:noProof/>
        <w:lang w:val="en-GB" w:eastAsia="en-GB" w:bidi="ar-SA"/>
      </w:rPr>
      <mc:AlternateContent>
        <mc:Choice Requires="wps">
          <w:drawing>
            <wp:anchor distT="0" distB="0" distL="114300" distR="114300" simplePos="0" relativeHeight="251659264" behindDoc="0" locked="0" layoutInCell="1" allowOverlap="1" wp14:anchorId="18C12E24" wp14:editId="4613D60C">
              <wp:simplePos x="0" y="0"/>
              <wp:positionH relativeFrom="column">
                <wp:posOffset>8190865</wp:posOffset>
              </wp:positionH>
              <wp:positionV relativeFrom="paragraph">
                <wp:posOffset>-180975</wp:posOffset>
              </wp:positionV>
              <wp:extent cx="1052195" cy="779145"/>
              <wp:effectExtent l="0" t="0" r="14605" b="2159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779145"/>
                      </a:xfrm>
                      <a:prstGeom prst="rect">
                        <a:avLst/>
                      </a:prstGeom>
                      <a:solidFill>
                        <a:srgbClr val="FFFFFF"/>
                      </a:solidFill>
                      <a:ln w="9525">
                        <a:solidFill>
                          <a:srgbClr val="FFFFFF"/>
                        </a:solidFill>
                        <a:miter lim="800000"/>
                        <a:headEnd/>
                        <a:tailEnd/>
                      </a:ln>
                    </wps:spPr>
                    <wps:txbx>
                      <w:txbxContent>
                        <w:p w:rsidR="00A43097" w:rsidRPr="00A80199" w:rsidRDefault="00A43097" w:rsidP="00183009">
                          <w:pPr>
                            <w:widowControl w:val="0"/>
                            <w:rPr>
                              <w:rFonts w:ascii="Arial Narrow" w:hAnsi="Arial Narrow"/>
                              <w:color w:val="00B050"/>
                              <w:sz w:val="72"/>
                              <w:szCs w:val="72"/>
                            </w:rPr>
                          </w:pPr>
                          <w:r>
                            <w:rPr>
                              <w:rFonts w:ascii="Arial Narrow" w:hAnsi="Arial Narrow"/>
                              <w:color w:val="00B050"/>
                              <w:sz w:val="72"/>
                            </w:rPr>
                            <w:t>Krmivá</w:t>
                          </w:r>
                        </w:p>
                        <w:p w:rsidR="00A43097" w:rsidRDefault="00A4309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644.95pt;margin-top:-14.25pt;width:82.85pt;height:61.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" strokecolor="white">
              <v:textbox style="mso-fit-shape-to-text:t">
                <w:txbxContent>
                  <w:p w:rsidR="00A43097" w:rsidRPr="00A80199" w:rsidRDefault="00A43097" w:rsidP="00183009">
                    <w:pPr>
                      <w:widowControl w:val="0"/>
                      <w:rPr>
                        <w:rFonts w:ascii="Arial Narrow" w:hAnsi="Arial Narrow"/>
                        <w:color w:val="00B050"/>
                        <w:sz w:val="72"/>
                        <w:szCs w:val="72"/>
                      </w:rPr>
                    </w:pPr>
                    <w:r>
                      <w:rPr>
                        <w:rFonts w:ascii="Arial Narrow" w:hAnsi="Arial Narrow"/>
                        <w:color w:val="00B050"/>
                        <w:sz w:val="72"/>
                      </w:rPr>
                      <w:t>Krmivá</w:t>
                    </w:r>
                  </w:p>
                  <w:p w:rsidR="00A43097" w:rsidRDefault="00A43097"/>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99.9pt;height:69.1pt" o:bullet="t">
        <v:imagedata r:id="rId1" o:title="ST Michel 34 Logo &amp; address FINAL_small png"/>
      </v:shape>
    </w:pict>
  </w:numPicBullet>
  <w:numPicBullet w:numPicBulletId="1">
    <w:pict>
      <v:shape id="_x0000_i1079" type="#_x0000_t75" style="width:9pt;height:9pt" o:bullet="t">
        <v:imagedata r:id="rId2" o:title="BD15021_"/>
      </v:shape>
    </w:pict>
  </w:numPicBullet>
  <w:abstractNum w:abstractNumId="0">
    <w:nsid w:val="01CF0966"/>
    <w:multiLevelType w:val="hybridMultilevel"/>
    <w:tmpl w:val="92042C90"/>
    <w:lvl w:ilvl="0" w:tplc="9A5C4F5A">
      <w:numFmt w:val="bullet"/>
      <w:lvlText w:val="-"/>
      <w:lvlJc w:val="left"/>
      <w:pPr>
        <w:tabs>
          <w:tab w:val="num" w:pos="420"/>
        </w:tabs>
        <w:ind w:left="420" w:hanging="360"/>
      </w:pPr>
      <w:rPr>
        <w:rFonts w:ascii="Tahoma" w:eastAsia="SimSu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724DD7"/>
    <w:multiLevelType w:val="hybridMultilevel"/>
    <w:tmpl w:val="DF9E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02577"/>
    <w:multiLevelType w:val="hybridMultilevel"/>
    <w:tmpl w:val="1016982A"/>
    <w:lvl w:ilvl="0" w:tplc="07FCC59E">
      <w:start w:val="1"/>
      <w:numFmt w:val="bullet"/>
      <w:lvlText w:val=""/>
      <w:lvlJc w:val="left"/>
      <w:pPr>
        <w:tabs>
          <w:tab w:val="num" w:pos="717"/>
        </w:tabs>
        <w:ind w:left="717" w:hanging="360"/>
      </w:pPr>
      <w:rPr>
        <w:rFonts w:ascii="Symbol" w:hAnsi="Symbol" w:hint="default"/>
        <w:sz w:val="16"/>
      </w:rPr>
    </w:lvl>
    <w:lvl w:ilvl="1" w:tplc="1F0A041E">
      <w:start w:val="1"/>
      <w:numFmt w:val="bullet"/>
      <w:lvlText w:val="o"/>
      <w:lvlJc w:val="left"/>
      <w:pPr>
        <w:tabs>
          <w:tab w:val="num" w:pos="1443"/>
        </w:tabs>
        <w:ind w:left="1443" w:hanging="363"/>
      </w:pPr>
      <w:rPr>
        <w:rFonts w:ascii="Courier New" w:hAnsi="Courier New" w:cs="Times New Roman"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B6E316B"/>
    <w:multiLevelType w:val="hybridMultilevel"/>
    <w:tmpl w:val="19DC7E10"/>
    <w:lvl w:ilvl="0" w:tplc="0B147844">
      <w:start w:val="1"/>
      <w:numFmt w:val="bullet"/>
      <w:lvlText w:val=""/>
      <w:lvlPicBulletId w:val="1"/>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11367462"/>
    <w:multiLevelType w:val="multilevel"/>
    <w:tmpl w:val="69E055C4"/>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2D0717A"/>
    <w:multiLevelType w:val="hybridMultilevel"/>
    <w:tmpl w:val="56F8ED2E"/>
    <w:lvl w:ilvl="0" w:tplc="04090003">
      <w:start w:val="1"/>
      <w:numFmt w:val="bullet"/>
      <w:lvlText w:val="o"/>
      <w:lvlJc w:val="left"/>
      <w:pPr>
        <w:tabs>
          <w:tab w:val="num" w:pos="786"/>
        </w:tabs>
        <w:ind w:left="786" w:hanging="360"/>
      </w:pPr>
      <w:rPr>
        <w:rFonts w:ascii="Courier New" w:hAnsi="Courier New" w:cs="Courier New" w:hint="default"/>
        <w:sz w:val="16"/>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Wingdings" w:hAnsi="Wingdings" w:cs="Times New Roman" w:hint="default"/>
      </w:rPr>
    </w:lvl>
    <w:lvl w:ilvl="3" w:tplc="04090001">
      <w:start w:val="1"/>
      <w:numFmt w:val="bullet"/>
      <w:lvlText w:val=""/>
      <w:lvlJc w:val="left"/>
      <w:pPr>
        <w:tabs>
          <w:tab w:val="num" w:pos="2946"/>
        </w:tabs>
        <w:ind w:left="2946" w:hanging="360"/>
      </w:pPr>
      <w:rPr>
        <w:rFonts w:ascii="Symbol" w:hAnsi="Symbol" w:cs="Times New Roman"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cs="Times New Roman" w:hint="default"/>
      </w:rPr>
    </w:lvl>
    <w:lvl w:ilvl="6" w:tplc="04090001">
      <w:start w:val="1"/>
      <w:numFmt w:val="bullet"/>
      <w:lvlText w:val=""/>
      <w:lvlJc w:val="left"/>
      <w:pPr>
        <w:tabs>
          <w:tab w:val="num" w:pos="5106"/>
        </w:tabs>
        <w:ind w:left="5106" w:hanging="360"/>
      </w:pPr>
      <w:rPr>
        <w:rFonts w:ascii="Symbol" w:hAnsi="Symbol" w:cs="Times New Roman"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cs="Times New Roman" w:hint="default"/>
      </w:rPr>
    </w:lvl>
  </w:abstractNum>
  <w:abstractNum w:abstractNumId="6">
    <w:nsid w:val="13671280"/>
    <w:multiLevelType w:val="hybridMultilevel"/>
    <w:tmpl w:val="E8104494"/>
    <w:lvl w:ilvl="0" w:tplc="E336489C">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38349EB"/>
    <w:multiLevelType w:val="hybridMultilevel"/>
    <w:tmpl w:val="DE54CA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081932"/>
    <w:multiLevelType w:val="hybridMultilevel"/>
    <w:tmpl w:val="9FBEEA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8216B37"/>
    <w:multiLevelType w:val="hybridMultilevel"/>
    <w:tmpl w:val="EA08B8AA"/>
    <w:lvl w:ilvl="0" w:tplc="E336489C">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BD60428"/>
    <w:multiLevelType w:val="hybridMultilevel"/>
    <w:tmpl w:val="3DDCA1EC"/>
    <w:lvl w:ilvl="0" w:tplc="04090003">
      <w:start w:val="1"/>
      <w:numFmt w:val="bullet"/>
      <w:lvlText w:val="o"/>
      <w:lvlJc w:val="left"/>
      <w:pPr>
        <w:tabs>
          <w:tab w:val="num" w:pos="720"/>
        </w:tabs>
        <w:ind w:left="720" w:hanging="360"/>
      </w:pPr>
      <w:rPr>
        <w:rFonts w:ascii="Courier New" w:hAnsi="Courier New" w:cs="Courier New"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1ED50BEB"/>
    <w:multiLevelType w:val="multilevel"/>
    <w:tmpl w:val="BDDC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520EB4"/>
    <w:multiLevelType w:val="multilevel"/>
    <w:tmpl w:val="FBACAE7A"/>
    <w:name w:val="Liste 123"/>
    <w:lvl w:ilvl="0">
      <w:start w:val="1"/>
      <w:numFmt w:val="decimal"/>
      <w:lvlText w:val="%1."/>
      <w:lvlJc w:val="left"/>
      <w:pPr>
        <w:tabs>
          <w:tab w:val="num" w:pos="851"/>
        </w:tabs>
        <w:ind w:left="851" w:hanging="851"/>
      </w:pPr>
      <w:rPr>
        <w:rFonts w:ascii="Times New Roman" w:hAnsi="Times New Roman" w:cs="Times New Roman" w:hint="default"/>
        <w:b w:val="0"/>
        <w:i w:val="0"/>
        <w:color w:val="auto"/>
        <w:sz w:val="22"/>
        <w:szCs w:val="22"/>
        <w:u w:val="none"/>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3">
    <w:nsid w:val="21D3494F"/>
    <w:multiLevelType w:val="hybridMultilevel"/>
    <w:tmpl w:val="5B287BA8"/>
    <w:lvl w:ilvl="0" w:tplc="9A5C4F5A">
      <w:numFmt w:val="bullet"/>
      <w:lvlText w:val="-"/>
      <w:lvlJc w:val="left"/>
      <w:pPr>
        <w:tabs>
          <w:tab w:val="num" w:pos="420"/>
        </w:tabs>
        <w:ind w:left="420" w:hanging="360"/>
      </w:pPr>
      <w:rPr>
        <w:rFonts w:ascii="Tahoma" w:eastAsia="SimSu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6C51AF8"/>
    <w:multiLevelType w:val="hybridMultilevel"/>
    <w:tmpl w:val="8990C3D2"/>
    <w:lvl w:ilvl="0" w:tplc="04090003">
      <w:start w:val="1"/>
      <w:numFmt w:val="bullet"/>
      <w:lvlText w:val="o"/>
      <w:lvlJc w:val="left"/>
      <w:pPr>
        <w:tabs>
          <w:tab w:val="num" w:pos="473"/>
        </w:tabs>
        <w:ind w:left="397" w:hanging="284"/>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90E319A"/>
    <w:multiLevelType w:val="hybridMultilevel"/>
    <w:tmpl w:val="090201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B5109DD"/>
    <w:multiLevelType w:val="hybridMultilevel"/>
    <w:tmpl w:val="27E4E49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2CED4932"/>
    <w:multiLevelType w:val="multilevel"/>
    <w:tmpl w:val="AA60B078"/>
    <w:lvl w:ilvl="0">
      <w:start w:val="5"/>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8">
    <w:nsid w:val="2E036CCE"/>
    <w:multiLevelType w:val="hybridMultilevel"/>
    <w:tmpl w:val="C3DE8CCE"/>
    <w:lvl w:ilvl="0" w:tplc="0B147844">
      <w:start w:val="1"/>
      <w:numFmt w:val="bullet"/>
      <w:lvlText w:val=""/>
      <w:lvlPicBulletId w:val="1"/>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nsid w:val="2EA93891"/>
    <w:multiLevelType w:val="hybridMultilevel"/>
    <w:tmpl w:val="907413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0A97DD7"/>
    <w:multiLevelType w:val="hybridMultilevel"/>
    <w:tmpl w:val="0AF24198"/>
    <w:lvl w:ilvl="0" w:tplc="9A5C4F5A">
      <w:numFmt w:val="bullet"/>
      <w:lvlText w:val="-"/>
      <w:lvlJc w:val="left"/>
      <w:pPr>
        <w:tabs>
          <w:tab w:val="num" w:pos="420"/>
        </w:tabs>
        <w:ind w:left="420" w:hanging="360"/>
      </w:pPr>
      <w:rPr>
        <w:rFonts w:ascii="Tahoma" w:eastAsia="SimSu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30C1ACC"/>
    <w:multiLevelType w:val="hybridMultilevel"/>
    <w:tmpl w:val="832A6192"/>
    <w:lvl w:ilvl="0" w:tplc="0B14784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8536E5"/>
    <w:multiLevelType w:val="hybridMultilevel"/>
    <w:tmpl w:val="390621C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B34140"/>
    <w:multiLevelType w:val="multilevel"/>
    <w:tmpl w:val="D734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067D0A"/>
    <w:multiLevelType w:val="hybridMultilevel"/>
    <w:tmpl w:val="984E5A26"/>
    <w:lvl w:ilvl="0" w:tplc="E336489C">
      <w:numFmt w:val="bullet"/>
      <w:lvlText w:val="-"/>
      <w:lvlJc w:val="left"/>
      <w:pPr>
        <w:ind w:left="2844" w:hanging="360"/>
      </w:pPr>
      <w:rPr>
        <w:rFonts w:ascii="Times New Roman" w:eastAsia="SimSun" w:hAnsi="Times New Roman" w:cs="Times New Roman" w:hint="default"/>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25">
    <w:nsid w:val="3EF6191B"/>
    <w:multiLevelType w:val="hybridMultilevel"/>
    <w:tmpl w:val="D2F47546"/>
    <w:lvl w:ilvl="0" w:tplc="0B147844">
      <w:start w:val="1"/>
      <w:numFmt w:val="bullet"/>
      <w:lvlText w:val=""/>
      <w:lvlPicBulletId w:val="1"/>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6">
    <w:nsid w:val="40D973B7"/>
    <w:multiLevelType w:val="multilevel"/>
    <w:tmpl w:val="F3FA5612"/>
    <w:lvl w:ilvl="0">
      <w:start w:val="7"/>
      <w:numFmt w:val="decimal"/>
      <w:lvlText w:val="%1"/>
      <w:lvlJc w:val="left"/>
      <w:pPr>
        <w:ind w:left="360" w:hanging="360"/>
      </w:pPr>
      <w:rPr>
        <w:rFonts w:hint="default"/>
      </w:rPr>
    </w:lvl>
    <w:lvl w:ilvl="1">
      <w:start w:val="4"/>
      <w:numFmt w:val="decimal"/>
      <w:lvlText w:val="%1.%2"/>
      <w:lvlJc w:val="left"/>
      <w:pPr>
        <w:ind w:left="2133" w:hanging="72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7092" w:hanging="144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10278" w:hanging="1800"/>
      </w:pPr>
      <w:rPr>
        <w:rFonts w:hint="default"/>
      </w:rPr>
    </w:lvl>
    <w:lvl w:ilvl="7">
      <w:start w:val="1"/>
      <w:numFmt w:val="decimal"/>
      <w:lvlText w:val="%1.%2.%3.%4.%5.%6.%7.%8"/>
      <w:lvlJc w:val="left"/>
      <w:pPr>
        <w:ind w:left="12051" w:hanging="2160"/>
      </w:pPr>
      <w:rPr>
        <w:rFonts w:hint="default"/>
      </w:rPr>
    </w:lvl>
    <w:lvl w:ilvl="8">
      <w:start w:val="1"/>
      <w:numFmt w:val="decimal"/>
      <w:lvlText w:val="%1.%2.%3.%4.%5.%6.%7.%8.%9"/>
      <w:lvlJc w:val="left"/>
      <w:pPr>
        <w:ind w:left="13464" w:hanging="2160"/>
      </w:pPr>
      <w:rPr>
        <w:rFonts w:hint="default"/>
      </w:rPr>
    </w:lvl>
  </w:abstractNum>
  <w:abstractNum w:abstractNumId="27">
    <w:nsid w:val="42113FFC"/>
    <w:multiLevelType w:val="hybridMultilevel"/>
    <w:tmpl w:val="44F6DFC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474310EB"/>
    <w:multiLevelType w:val="hybridMultilevel"/>
    <w:tmpl w:val="8F0AFE00"/>
    <w:lvl w:ilvl="0" w:tplc="E336489C">
      <w:numFmt w:val="bullet"/>
      <w:lvlText w:val="-"/>
      <w:lvlJc w:val="left"/>
      <w:pPr>
        <w:ind w:left="720" w:hanging="360"/>
      </w:pPr>
      <w:rPr>
        <w:rFonts w:ascii="Times New Roman" w:eastAsia="SimSu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47960C2B"/>
    <w:multiLevelType w:val="hybridMultilevel"/>
    <w:tmpl w:val="E9A856C8"/>
    <w:lvl w:ilvl="0" w:tplc="0B147844">
      <w:start w:val="1"/>
      <w:numFmt w:val="bullet"/>
      <w:lvlText w:val=""/>
      <w:lvlPicBulletId w:val="1"/>
      <w:lvlJc w:val="left"/>
      <w:pPr>
        <w:tabs>
          <w:tab w:val="num" w:pos="786"/>
        </w:tabs>
        <w:ind w:left="786" w:hanging="360"/>
      </w:pPr>
      <w:rPr>
        <w:rFonts w:ascii="Symbol" w:hAnsi="Symbol" w:hint="default"/>
        <w:color w:val="auto"/>
        <w:sz w:val="16"/>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Wingdings" w:hAnsi="Wingdings" w:cs="Times New Roman" w:hint="default"/>
      </w:rPr>
    </w:lvl>
    <w:lvl w:ilvl="3" w:tplc="04090001">
      <w:start w:val="1"/>
      <w:numFmt w:val="bullet"/>
      <w:lvlText w:val=""/>
      <w:lvlJc w:val="left"/>
      <w:pPr>
        <w:tabs>
          <w:tab w:val="num" w:pos="2946"/>
        </w:tabs>
        <w:ind w:left="2946" w:hanging="360"/>
      </w:pPr>
      <w:rPr>
        <w:rFonts w:ascii="Symbol" w:hAnsi="Symbol" w:cs="Times New Roman"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cs="Times New Roman" w:hint="default"/>
      </w:rPr>
    </w:lvl>
    <w:lvl w:ilvl="6" w:tplc="04090001">
      <w:start w:val="1"/>
      <w:numFmt w:val="bullet"/>
      <w:lvlText w:val=""/>
      <w:lvlJc w:val="left"/>
      <w:pPr>
        <w:tabs>
          <w:tab w:val="num" w:pos="5106"/>
        </w:tabs>
        <w:ind w:left="5106" w:hanging="360"/>
      </w:pPr>
      <w:rPr>
        <w:rFonts w:ascii="Symbol" w:hAnsi="Symbol" w:cs="Times New Roman"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cs="Times New Roman" w:hint="default"/>
      </w:rPr>
    </w:lvl>
  </w:abstractNum>
  <w:abstractNum w:abstractNumId="30">
    <w:nsid w:val="4B276472"/>
    <w:multiLevelType w:val="hybridMultilevel"/>
    <w:tmpl w:val="442A7BF2"/>
    <w:lvl w:ilvl="0" w:tplc="BFC6C6A4">
      <w:start w:val="1"/>
      <w:numFmt w:val="bullet"/>
      <w:lvlText w:val=""/>
      <w:lvlJc w:val="left"/>
      <w:pPr>
        <w:ind w:left="1211" w:hanging="360"/>
      </w:pPr>
      <w:rPr>
        <w:rFonts w:ascii="Symbol" w:hAnsi="Symbol" w:hint="default"/>
      </w:rPr>
    </w:lvl>
    <w:lvl w:ilvl="1" w:tplc="040C0003">
      <w:start w:val="1"/>
      <w:numFmt w:val="bullet"/>
      <w:lvlText w:val="o"/>
      <w:lvlJc w:val="left"/>
      <w:pPr>
        <w:ind w:left="1931" w:hanging="360"/>
      </w:pPr>
      <w:rPr>
        <w:rFonts w:ascii="Courier New" w:hAnsi="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hint="default"/>
      </w:rPr>
    </w:lvl>
    <w:lvl w:ilvl="8" w:tplc="040C0005">
      <w:start w:val="1"/>
      <w:numFmt w:val="bullet"/>
      <w:lvlText w:val=""/>
      <w:lvlJc w:val="left"/>
      <w:pPr>
        <w:ind w:left="6971" w:hanging="360"/>
      </w:pPr>
      <w:rPr>
        <w:rFonts w:ascii="Wingdings" w:hAnsi="Wingdings" w:hint="default"/>
      </w:rPr>
    </w:lvl>
  </w:abstractNum>
  <w:abstractNum w:abstractNumId="31">
    <w:nsid w:val="4DBC61F7"/>
    <w:multiLevelType w:val="hybridMultilevel"/>
    <w:tmpl w:val="0A1291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4F5231E8"/>
    <w:multiLevelType w:val="hybridMultilevel"/>
    <w:tmpl w:val="2188E13A"/>
    <w:lvl w:ilvl="0" w:tplc="9A5C4F5A">
      <w:numFmt w:val="bullet"/>
      <w:lvlText w:val="-"/>
      <w:lvlJc w:val="left"/>
      <w:pPr>
        <w:tabs>
          <w:tab w:val="num" w:pos="420"/>
        </w:tabs>
        <w:ind w:left="420" w:hanging="360"/>
      </w:pPr>
      <w:rPr>
        <w:rFonts w:ascii="Tahoma" w:eastAsia="SimSu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27C303D"/>
    <w:multiLevelType w:val="hybridMultilevel"/>
    <w:tmpl w:val="7C2AEF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38E7D43"/>
    <w:multiLevelType w:val="hybridMultilevel"/>
    <w:tmpl w:val="D222FCCC"/>
    <w:lvl w:ilvl="0" w:tplc="ED928788">
      <w:start w:val="1"/>
      <w:numFmt w:val="decimal"/>
      <w:lvlText w:val="%1."/>
      <w:lvlJc w:val="left"/>
      <w:pPr>
        <w:ind w:left="720" w:hanging="360"/>
      </w:pPr>
      <w:rPr>
        <w:rFonts w:ascii="Arial Rounded MT Bold" w:hAnsi="Arial Rounded MT Bold" w:cs="Times New Roman" w:hint="default"/>
        <w:b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67225C"/>
    <w:multiLevelType w:val="multilevel"/>
    <w:tmpl w:val="D90E879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569"/>
        </w:tabs>
        <w:ind w:left="1569" w:hanging="576"/>
      </w:pPr>
      <w:rPr>
        <w:rFonts w:hint="default"/>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nsid w:val="6CB82A6C"/>
    <w:multiLevelType w:val="hybridMultilevel"/>
    <w:tmpl w:val="4E04819C"/>
    <w:lvl w:ilvl="0" w:tplc="4C1C29C8">
      <w:start w:val="1"/>
      <w:numFmt w:val="bullet"/>
      <w:lvlText w:val="-"/>
      <w:lvlJc w:val="left"/>
      <w:pPr>
        <w:ind w:left="1215" w:hanging="360"/>
      </w:pPr>
      <w:rPr>
        <w:rFonts w:ascii="Times New Roman" w:eastAsia="Times New Roman" w:hAnsi="Times New Roman" w:hint="default"/>
      </w:rPr>
    </w:lvl>
    <w:lvl w:ilvl="1" w:tplc="56AEDBFE">
      <w:start w:val="1"/>
      <w:numFmt w:val="bullet"/>
      <w:lvlText w:val="o"/>
      <w:lvlJc w:val="left"/>
      <w:pPr>
        <w:ind w:left="1935" w:hanging="360"/>
      </w:pPr>
      <w:rPr>
        <w:rFonts w:ascii="Courier New" w:hAnsi="Courier New" w:hint="default"/>
      </w:rPr>
    </w:lvl>
    <w:lvl w:ilvl="2" w:tplc="1ECCB98E">
      <w:start w:val="1"/>
      <w:numFmt w:val="bullet"/>
      <w:lvlText w:val=""/>
      <w:lvlJc w:val="left"/>
      <w:pPr>
        <w:ind w:left="2655" w:hanging="360"/>
      </w:pPr>
      <w:rPr>
        <w:rFonts w:ascii="Wingdings" w:hAnsi="Wingdings" w:hint="default"/>
      </w:rPr>
    </w:lvl>
    <w:lvl w:ilvl="3" w:tplc="189EA8E6">
      <w:start w:val="1"/>
      <w:numFmt w:val="bullet"/>
      <w:lvlText w:val=""/>
      <w:lvlJc w:val="left"/>
      <w:pPr>
        <w:ind w:left="3375" w:hanging="360"/>
      </w:pPr>
      <w:rPr>
        <w:rFonts w:ascii="Symbol" w:hAnsi="Symbol" w:hint="default"/>
      </w:rPr>
    </w:lvl>
    <w:lvl w:ilvl="4" w:tplc="F8D00176">
      <w:start w:val="1"/>
      <w:numFmt w:val="bullet"/>
      <w:lvlText w:val="o"/>
      <w:lvlJc w:val="left"/>
      <w:pPr>
        <w:ind w:left="4095" w:hanging="360"/>
      </w:pPr>
      <w:rPr>
        <w:rFonts w:ascii="Courier New" w:hAnsi="Courier New" w:hint="default"/>
      </w:rPr>
    </w:lvl>
    <w:lvl w:ilvl="5" w:tplc="573E3914">
      <w:start w:val="1"/>
      <w:numFmt w:val="bullet"/>
      <w:lvlText w:val=""/>
      <w:lvlJc w:val="left"/>
      <w:pPr>
        <w:ind w:left="4815" w:hanging="360"/>
      </w:pPr>
      <w:rPr>
        <w:rFonts w:ascii="Wingdings" w:hAnsi="Wingdings" w:hint="default"/>
      </w:rPr>
    </w:lvl>
    <w:lvl w:ilvl="6" w:tplc="3C12D694">
      <w:start w:val="1"/>
      <w:numFmt w:val="bullet"/>
      <w:lvlText w:val=""/>
      <w:lvlJc w:val="left"/>
      <w:pPr>
        <w:ind w:left="5535" w:hanging="360"/>
      </w:pPr>
      <w:rPr>
        <w:rFonts w:ascii="Symbol" w:hAnsi="Symbol" w:hint="default"/>
      </w:rPr>
    </w:lvl>
    <w:lvl w:ilvl="7" w:tplc="91526BC2">
      <w:start w:val="1"/>
      <w:numFmt w:val="bullet"/>
      <w:lvlText w:val="o"/>
      <w:lvlJc w:val="left"/>
      <w:pPr>
        <w:ind w:left="6255" w:hanging="360"/>
      </w:pPr>
      <w:rPr>
        <w:rFonts w:ascii="Courier New" w:hAnsi="Courier New" w:hint="default"/>
      </w:rPr>
    </w:lvl>
    <w:lvl w:ilvl="8" w:tplc="4B0C7982">
      <w:start w:val="1"/>
      <w:numFmt w:val="bullet"/>
      <w:lvlText w:val=""/>
      <w:lvlJc w:val="left"/>
      <w:pPr>
        <w:ind w:left="6975" w:hanging="360"/>
      </w:pPr>
      <w:rPr>
        <w:rFonts w:ascii="Wingdings" w:hAnsi="Wingdings" w:hint="default"/>
      </w:rPr>
    </w:lvl>
  </w:abstractNum>
  <w:abstractNum w:abstractNumId="37">
    <w:nsid w:val="6CC642F4"/>
    <w:multiLevelType w:val="hybridMultilevel"/>
    <w:tmpl w:val="FBF6D6F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C93878"/>
    <w:multiLevelType w:val="hybridMultilevel"/>
    <w:tmpl w:val="0F8AA50C"/>
    <w:lvl w:ilvl="0" w:tplc="04090003">
      <w:start w:val="1"/>
      <w:numFmt w:val="bullet"/>
      <w:lvlText w:val="o"/>
      <w:lvlJc w:val="left"/>
      <w:pPr>
        <w:tabs>
          <w:tab w:val="num" w:pos="720"/>
        </w:tabs>
        <w:ind w:left="720" w:hanging="360"/>
      </w:pPr>
      <w:rPr>
        <w:rFonts w:ascii="Courier New" w:hAnsi="Courier New" w:cs="Courier New"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9">
    <w:nsid w:val="6D1F1396"/>
    <w:multiLevelType w:val="hybridMultilevel"/>
    <w:tmpl w:val="4622D558"/>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0">
    <w:nsid w:val="707F00F2"/>
    <w:multiLevelType w:val="hybridMultilevel"/>
    <w:tmpl w:val="04AC80E4"/>
    <w:lvl w:ilvl="0" w:tplc="04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nsid w:val="7085655E"/>
    <w:multiLevelType w:val="hybridMultilevel"/>
    <w:tmpl w:val="0F80EF90"/>
    <w:lvl w:ilvl="0" w:tplc="0B147844">
      <w:start w:val="1"/>
      <w:numFmt w:val="bullet"/>
      <w:lvlText w:val=""/>
      <w:lvlPicBulletId w:val="1"/>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2">
    <w:nsid w:val="73443E62"/>
    <w:multiLevelType w:val="hybridMultilevel"/>
    <w:tmpl w:val="FD88F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35"/>
  </w:num>
  <w:num w:numId="4">
    <w:abstractNumId w:val="32"/>
  </w:num>
  <w:num w:numId="5">
    <w:abstractNumId w:val="0"/>
  </w:num>
  <w:num w:numId="6">
    <w:abstractNumId w:val="33"/>
  </w:num>
  <w:num w:numId="7">
    <w:abstractNumId w:val="13"/>
  </w:num>
  <w:num w:numId="8">
    <w:abstractNumId w:val="39"/>
  </w:num>
  <w:num w:numId="9">
    <w:abstractNumId w:val="23"/>
  </w:num>
  <w:num w:numId="10">
    <w:abstractNumId w:val="9"/>
  </w:num>
  <w:num w:numId="11">
    <w:abstractNumId w:val="12"/>
  </w:num>
  <w:num w:numId="12">
    <w:abstractNumId w:val="36"/>
  </w:num>
  <w:num w:numId="13">
    <w:abstractNumId w:val="30"/>
  </w:num>
  <w:num w:numId="14">
    <w:abstractNumId w:val="7"/>
  </w:num>
  <w:num w:numId="15">
    <w:abstractNumId w:val="1"/>
  </w:num>
  <w:num w:numId="16">
    <w:abstractNumId w:val="19"/>
  </w:num>
  <w:num w:numId="17">
    <w:abstractNumId w:val="31"/>
  </w:num>
  <w:num w:numId="18">
    <w:abstractNumId w:val="2"/>
  </w:num>
  <w:num w:numId="19">
    <w:abstractNumId w:val="37"/>
  </w:num>
  <w:num w:numId="20">
    <w:abstractNumId w:val="4"/>
  </w:num>
  <w:num w:numId="21">
    <w:abstractNumId w:val="42"/>
  </w:num>
  <w:num w:numId="22">
    <w:abstractNumId w:val="28"/>
  </w:num>
  <w:num w:numId="23">
    <w:abstractNumId w:val="16"/>
  </w:num>
  <w:num w:numId="24">
    <w:abstractNumId w:val="6"/>
  </w:num>
  <w:num w:numId="25">
    <w:abstractNumId w:val="24"/>
  </w:num>
  <w:num w:numId="26">
    <w:abstractNumId w:val="34"/>
  </w:num>
  <w:num w:numId="27">
    <w:abstractNumId w:val="17"/>
  </w:num>
  <w:num w:numId="28">
    <w:abstractNumId w:val="35"/>
    <w:lvlOverride w:ilvl="0">
      <w:startOverride w:val="6"/>
    </w:lvlOverride>
  </w:num>
  <w:num w:numId="29">
    <w:abstractNumId w:val="11"/>
  </w:num>
  <w:num w:numId="30">
    <w:abstractNumId w:val="15"/>
  </w:num>
  <w:num w:numId="31">
    <w:abstractNumId w:val="22"/>
  </w:num>
  <w:num w:numId="32">
    <w:abstractNumId w:val="10"/>
  </w:num>
  <w:num w:numId="33">
    <w:abstractNumId w:val="38"/>
  </w:num>
  <w:num w:numId="34">
    <w:abstractNumId w:val="40"/>
  </w:num>
  <w:num w:numId="35">
    <w:abstractNumId w:val="5"/>
  </w:num>
  <w:num w:numId="36">
    <w:abstractNumId w:val="26"/>
  </w:num>
  <w:num w:numId="37">
    <w:abstractNumId w:val="14"/>
  </w:num>
  <w:num w:numId="38">
    <w:abstractNumId w:val="27"/>
  </w:num>
  <w:num w:numId="39">
    <w:abstractNumId w:val="21"/>
  </w:num>
  <w:num w:numId="40">
    <w:abstractNumId w:val="41"/>
  </w:num>
  <w:num w:numId="41">
    <w:abstractNumId w:val="25"/>
  </w:num>
  <w:num w:numId="42">
    <w:abstractNumId w:val="3"/>
  </w:num>
  <w:num w:numId="43">
    <w:abstractNumId w:val="29"/>
  </w:num>
  <w:num w:numId="44">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oît Delbôve">
    <w15:presenceInfo w15:providerId="Windows Live" w15:userId="0014e185bbe77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Type w:val="eMail"/>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gNum" w:val="1"/>
    <w:docVar w:name="LW_DocType" w:val="LET EN"/>
  </w:docVars>
  <w:rsids>
    <w:rsidRoot w:val="004D1AD7"/>
    <w:rsid w:val="000050B7"/>
    <w:rsid w:val="00006AAF"/>
    <w:rsid w:val="000160B1"/>
    <w:rsid w:val="00020681"/>
    <w:rsid w:val="00024170"/>
    <w:rsid w:val="00024577"/>
    <w:rsid w:val="00024A13"/>
    <w:rsid w:val="00024B56"/>
    <w:rsid w:val="00025440"/>
    <w:rsid w:val="00025445"/>
    <w:rsid w:val="00036DE9"/>
    <w:rsid w:val="00044C0C"/>
    <w:rsid w:val="000553C6"/>
    <w:rsid w:val="00055D0D"/>
    <w:rsid w:val="00056936"/>
    <w:rsid w:val="000621B5"/>
    <w:rsid w:val="00063494"/>
    <w:rsid w:val="00065F29"/>
    <w:rsid w:val="00067437"/>
    <w:rsid w:val="00070FEF"/>
    <w:rsid w:val="000728D7"/>
    <w:rsid w:val="00072A49"/>
    <w:rsid w:val="00073614"/>
    <w:rsid w:val="00073E32"/>
    <w:rsid w:val="00076622"/>
    <w:rsid w:val="000767F6"/>
    <w:rsid w:val="00082828"/>
    <w:rsid w:val="00083085"/>
    <w:rsid w:val="00093BF1"/>
    <w:rsid w:val="00097CE4"/>
    <w:rsid w:val="000A6745"/>
    <w:rsid w:val="000B1296"/>
    <w:rsid w:val="000B3AB1"/>
    <w:rsid w:val="000C0621"/>
    <w:rsid w:val="000C417B"/>
    <w:rsid w:val="000C4E00"/>
    <w:rsid w:val="000C52F2"/>
    <w:rsid w:val="000C679F"/>
    <w:rsid w:val="000C7703"/>
    <w:rsid w:val="000D0A93"/>
    <w:rsid w:val="000D43B8"/>
    <w:rsid w:val="000D558A"/>
    <w:rsid w:val="000D63AA"/>
    <w:rsid w:val="000E66E5"/>
    <w:rsid w:val="000E7271"/>
    <w:rsid w:val="000F0077"/>
    <w:rsid w:val="000F1C47"/>
    <w:rsid w:val="001062E6"/>
    <w:rsid w:val="00120270"/>
    <w:rsid w:val="00120930"/>
    <w:rsid w:val="00123583"/>
    <w:rsid w:val="00123823"/>
    <w:rsid w:val="00123838"/>
    <w:rsid w:val="00123EED"/>
    <w:rsid w:val="00124850"/>
    <w:rsid w:val="00127622"/>
    <w:rsid w:val="001327AB"/>
    <w:rsid w:val="00133433"/>
    <w:rsid w:val="001351E6"/>
    <w:rsid w:val="00136F2C"/>
    <w:rsid w:val="00137DC3"/>
    <w:rsid w:val="00141E5B"/>
    <w:rsid w:val="00147A0E"/>
    <w:rsid w:val="00151ACA"/>
    <w:rsid w:val="00154E0F"/>
    <w:rsid w:val="0015798E"/>
    <w:rsid w:val="00160497"/>
    <w:rsid w:val="0016375A"/>
    <w:rsid w:val="00183009"/>
    <w:rsid w:val="001946A3"/>
    <w:rsid w:val="001961E4"/>
    <w:rsid w:val="00197C5A"/>
    <w:rsid w:val="00197F1B"/>
    <w:rsid w:val="001A135A"/>
    <w:rsid w:val="001A405E"/>
    <w:rsid w:val="001B01FC"/>
    <w:rsid w:val="001C1343"/>
    <w:rsid w:val="001C3A68"/>
    <w:rsid w:val="001C5882"/>
    <w:rsid w:val="001D22F4"/>
    <w:rsid w:val="001D2477"/>
    <w:rsid w:val="001D5DE3"/>
    <w:rsid w:val="001D60DA"/>
    <w:rsid w:val="001E05FE"/>
    <w:rsid w:val="0020639E"/>
    <w:rsid w:val="002153BA"/>
    <w:rsid w:val="00217A7D"/>
    <w:rsid w:val="00224937"/>
    <w:rsid w:val="0023340F"/>
    <w:rsid w:val="00233E3A"/>
    <w:rsid w:val="002408DC"/>
    <w:rsid w:val="00241EB4"/>
    <w:rsid w:val="00242D8A"/>
    <w:rsid w:val="00243AAB"/>
    <w:rsid w:val="00251EFD"/>
    <w:rsid w:val="002545DF"/>
    <w:rsid w:val="002553C5"/>
    <w:rsid w:val="0025643D"/>
    <w:rsid w:val="00257CF8"/>
    <w:rsid w:val="002611B2"/>
    <w:rsid w:val="0027238A"/>
    <w:rsid w:val="00276654"/>
    <w:rsid w:val="002A4021"/>
    <w:rsid w:val="002A4F56"/>
    <w:rsid w:val="002B0D15"/>
    <w:rsid w:val="002B2093"/>
    <w:rsid w:val="002B4EBF"/>
    <w:rsid w:val="002B77A2"/>
    <w:rsid w:val="002C2C5A"/>
    <w:rsid w:val="002C35C3"/>
    <w:rsid w:val="002C35C6"/>
    <w:rsid w:val="002D0A71"/>
    <w:rsid w:val="002D3548"/>
    <w:rsid w:val="002D4D47"/>
    <w:rsid w:val="002E52C2"/>
    <w:rsid w:val="002E55EF"/>
    <w:rsid w:val="002F0AB8"/>
    <w:rsid w:val="00300F3C"/>
    <w:rsid w:val="00301A1D"/>
    <w:rsid w:val="00302D9E"/>
    <w:rsid w:val="00303AC4"/>
    <w:rsid w:val="00304753"/>
    <w:rsid w:val="0031639C"/>
    <w:rsid w:val="00320589"/>
    <w:rsid w:val="003211B6"/>
    <w:rsid w:val="0033448F"/>
    <w:rsid w:val="00337129"/>
    <w:rsid w:val="00337FB2"/>
    <w:rsid w:val="003440D6"/>
    <w:rsid w:val="00356D1C"/>
    <w:rsid w:val="0035700C"/>
    <w:rsid w:val="00363BDE"/>
    <w:rsid w:val="003737F1"/>
    <w:rsid w:val="00384804"/>
    <w:rsid w:val="00384D26"/>
    <w:rsid w:val="00387FC1"/>
    <w:rsid w:val="00392641"/>
    <w:rsid w:val="003958A7"/>
    <w:rsid w:val="00396EC6"/>
    <w:rsid w:val="003A2B05"/>
    <w:rsid w:val="003A34DD"/>
    <w:rsid w:val="003B2746"/>
    <w:rsid w:val="003B5B27"/>
    <w:rsid w:val="003C2F0D"/>
    <w:rsid w:val="003D0A5F"/>
    <w:rsid w:val="003D17F7"/>
    <w:rsid w:val="003D5254"/>
    <w:rsid w:val="003E010C"/>
    <w:rsid w:val="003E0838"/>
    <w:rsid w:val="003E083C"/>
    <w:rsid w:val="003E3DEF"/>
    <w:rsid w:val="003E5328"/>
    <w:rsid w:val="003E62F2"/>
    <w:rsid w:val="003F0098"/>
    <w:rsid w:val="003F1FF5"/>
    <w:rsid w:val="003F6B44"/>
    <w:rsid w:val="003F6C0F"/>
    <w:rsid w:val="00401368"/>
    <w:rsid w:val="00405850"/>
    <w:rsid w:val="00412990"/>
    <w:rsid w:val="00416305"/>
    <w:rsid w:val="00421210"/>
    <w:rsid w:val="004250E7"/>
    <w:rsid w:val="00427188"/>
    <w:rsid w:val="00427A3D"/>
    <w:rsid w:val="00436063"/>
    <w:rsid w:val="0044051E"/>
    <w:rsid w:val="004453A9"/>
    <w:rsid w:val="00446691"/>
    <w:rsid w:val="00453723"/>
    <w:rsid w:val="00454213"/>
    <w:rsid w:val="00463602"/>
    <w:rsid w:val="0046497A"/>
    <w:rsid w:val="00471E8D"/>
    <w:rsid w:val="00477850"/>
    <w:rsid w:val="00480496"/>
    <w:rsid w:val="004819D4"/>
    <w:rsid w:val="004822A0"/>
    <w:rsid w:val="00482D81"/>
    <w:rsid w:val="004831A2"/>
    <w:rsid w:val="004832A4"/>
    <w:rsid w:val="004835CF"/>
    <w:rsid w:val="0048779E"/>
    <w:rsid w:val="00490C74"/>
    <w:rsid w:val="00492260"/>
    <w:rsid w:val="00493677"/>
    <w:rsid w:val="00494D0C"/>
    <w:rsid w:val="00496C0D"/>
    <w:rsid w:val="004A2A8A"/>
    <w:rsid w:val="004A3426"/>
    <w:rsid w:val="004B1272"/>
    <w:rsid w:val="004B2FB4"/>
    <w:rsid w:val="004B4DE2"/>
    <w:rsid w:val="004C07BD"/>
    <w:rsid w:val="004C162B"/>
    <w:rsid w:val="004C5813"/>
    <w:rsid w:val="004C645A"/>
    <w:rsid w:val="004C758F"/>
    <w:rsid w:val="004D14B9"/>
    <w:rsid w:val="004D1AD7"/>
    <w:rsid w:val="004D4347"/>
    <w:rsid w:val="004D5AB2"/>
    <w:rsid w:val="004D7624"/>
    <w:rsid w:val="004D7AD3"/>
    <w:rsid w:val="004D7CE5"/>
    <w:rsid w:val="004E2A83"/>
    <w:rsid w:val="004E2B6A"/>
    <w:rsid w:val="004E3ACA"/>
    <w:rsid w:val="004E54A8"/>
    <w:rsid w:val="004E6D41"/>
    <w:rsid w:val="004F26C9"/>
    <w:rsid w:val="004F2A09"/>
    <w:rsid w:val="004F2D87"/>
    <w:rsid w:val="004F4487"/>
    <w:rsid w:val="004F4A2F"/>
    <w:rsid w:val="00502861"/>
    <w:rsid w:val="00507F95"/>
    <w:rsid w:val="005108AF"/>
    <w:rsid w:val="00510FD1"/>
    <w:rsid w:val="00515881"/>
    <w:rsid w:val="005179EB"/>
    <w:rsid w:val="0052268B"/>
    <w:rsid w:val="00523E52"/>
    <w:rsid w:val="00542173"/>
    <w:rsid w:val="005450B4"/>
    <w:rsid w:val="00545727"/>
    <w:rsid w:val="00550C20"/>
    <w:rsid w:val="00551CD7"/>
    <w:rsid w:val="0055765D"/>
    <w:rsid w:val="00561388"/>
    <w:rsid w:val="00565264"/>
    <w:rsid w:val="00567397"/>
    <w:rsid w:val="00575312"/>
    <w:rsid w:val="00575960"/>
    <w:rsid w:val="00577B51"/>
    <w:rsid w:val="00577B75"/>
    <w:rsid w:val="00580DFB"/>
    <w:rsid w:val="00586F90"/>
    <w:rsid w:val="00587768"/>
    <w:rsid w:val="005879F8"/>
    <w:rsid w:val="00591963"/>
    <w:rsid w:val="00594E79"/>
    <w:rsid w:val="005A0181"/>
    <w:rsid w:val="005A0AC9"/>
    <w:rsid w:val="005A3788"/>
    <w:rsid w:val="005A4B4A"/>
    <w:rsid w:val="005A6305"/>
    <w:rsid w:val="005B3B72"/>
    <w:rsid w:val="005B422A"/>
    <w:rsid w:val="005C03F3"/>
    <w:rsid w:val="005C45A8"/>
    <w:rsid w:val="005C5BE8"/>
    <w:rsid w:val="005C6B94"/>
    <w:rsid w:val="005D1B93"/>
    <w:rsid w:val="005D5D64"/>
    <w:rsid w:val="005D5E3D"/>
    <w:rsid w:val="005E187D"/>
    <w:rsid w:val="005E640C"/>
    <w:rsid w:val="005F04E4"/>
    <w:rsid w:val="005F1A8F"/>
    <w:rsid w:val="005F3DE3"/>
    <w:rsid w:val="005F40D5"/>
    <w:rsid w:val="005F6623"/>
    <w:rsid w:val="0060304D"/>
    <w:rsid w:val="00621062"/>
    <w:rsid w:val="006221FD"/>
    <w:rsid w:val="0062274A"/>
    <w:rsid w:val="0062416B"/>
    <w:rsid w:val="00624A50"/>
    <w:rsid w:val="0063108E"/>
    <w:rsid w:val="006316BC"/>
    <w:rsid w:val="00633719"/>
    <w:rsid w:val="00640844"/>
    <w:rsid w:val="00642CAA"/>
    <w:rsid w:val="00646C8C"/>
    <w:rsid w:val="006558BC"/>
    <w:rsid w:val="00656564"/>
    <w:rsid w:val="00660F29"/>
    <w:rsid w:val="00665768"/>
    <w:rsid w:val="00665DE8"/>
    <w:rsid w:val="00667EF1"/>
    <w:rsid w:val="00673C87"/>
    <w:rsid w:val="006754F9"/>
    <w:rsid w:val="00677000"/>
    <w:rsid w:val="00680F51"/>
    <w:rsid w:val="0068260F"/>
    <w:rsid w:val="006830AD"/>
    <w:rsid w:val="006857A4"/>
    <w:rsid w:val="00687C0E"/>
    <w:rsid w:val="00694782"/>
    <w:rsid w:val="00697308"/>
    <w:rsid w:val="006A2972"/>
    <w:rsid w:val="006A63A8"/>
    <w:rsid w:val="006B2C3B"/>
    <w:rsid w:val="006B3301"/>
    <w:rsid w:val="006C2D6A"/>
    <w:rsid w:val="006C5888"/>
    <w:rsid w:val="006D03F1"/>
    <w:rsid w:val="006D3ABA"/>
    <w:rsid w:val="006D6874"/>
    <w:rsid w:val="006D6CCC"/>
    <w:rsid w:val="006F4A5D"/>
    <w:rsid w:val="00710316"/>
    <w:rsid w:val="00712268"/>
    <w:rsid w:val="00716A5A"/>
    <w:rsid w:val="007207A0"/>
    <w:rsid w:val="0072409A"/>
    <w:rsid w:val="00725858"/>
    <w:rsid w:val="00731393"/>
    <w:rsid w:val="007477A4"/>
    <w:rsid w:val="007541F5"/>
    <w:rsid w:val="00767934"/>
    <w:rsid w:val="007700BC"/>
    <w:rsid w:val="00770353"/>
    <w:rsid w:val="00770EA4"/>
    <w:rsid w:val="00774B93"/>
    <w:rsid w:val="00775892"/>
    <w:rsid w:val="0078175B"/>
    <w:rsid w:val="00784AA7"/>
    <w:rsid w:val="00793196"/>
    <w:rsid w:val="007972CE"/>
    <w:rsid w:val="007A766C"/>
    <w:rsid w:val="007B1792"/>
    <w:rsid w:val="007B5B25"/>
    <w:rsid w:val="007B630C"/>
    <w:rsid w:val="007C09D3"/>
    <w:rsid w:val="007C2084"/>
    <w:rsid w:val="007C363B"/>
    <w:rsid w:val="007D3F9B"/>
    <w:rsid w:val="007D5256"/>
    <w:rsid w:val="007E31B2"/>
    <w:rsid w:val="007E4F01"/>
    <w:rsid w:val="007E626C"/>
    <w:rsid w:val="007F05F3"/>
    <w:rsid w:val="007F0BAC"/>
    <w:rsid w:val="007F7FC9"/>
    <w:rsid w:val="00800E2C"/>
    <w:rsid w:val="008018BF"/>
    <w:rsid w:val="00814E32"/>
    <w:rsid w:val="00815334"/>
    <w:rsid w:val="008154BD"/>
    <w:rsid w:val="00816A4D"/>
    <w:rsid w:val="00821E9F"/>
    <w:rsid w:val="00825340"/>
    <w:rsid w:val="00826576"/>
    <w:rsid w:val="0084091A"/>
    <w:rsid w:val="00842911"/>
    <w:rsid w:val="00843954"/>
    <w:rsid w:val="00846B9A"/>
    <w:rsid w:val="0084747E"/>
    <w:rsid w:val="00850EB4"/>
    <w:rsid w:val="0085166B"/>
    <w:rsid w:val="008551A2"/>
    <w:rsid w:val="00856CBD"/>
    <w:rsid w:val="00863625"/>
    <w:rsid w:val="008645CC"/>
    <w:rsid w:val="00864B41"/>
    <w:rsid w:val="008652C5"/>
    <w:rsid w:val="00865A1B"/>
    <w:rsid w:val="008675C9"/>
    <w:rsid w:val="00870967"/>
    <w:rsid w:val="00874BA4"/>
    <w:rsid w:val="00883B0E"/>
    <w:rsid w:val="00891CF0"/>
    <w:rsid w:val="00891D71"/>
    <w:rsid w:val="00892146"/>
    <w:rsid w:val="008943A4"/>
    <w:rsid w:val="008A535C"/>
    <w:rsid w:val="008A5677"/>
    <w:rsid w:val="008A5B95"/>
    <w:rsid w:val="008A645C"/>
    <w:rsid w:val="008B20E6"/>
    <w:rsid w:val="008B7C7D"/>
    <w:rsid w:val="008C1157"/>
    <w:rsid w:val="008C5EFF"/>
    <w:rsid w:val="008C7C3E"/>
    <w:rsid w:val="008C7FD5"/>
    <w:rsid w:val="008E096A"/>
    <w:rsid w:val="008E0C3A"/>
    <w:rsid w:val="008E1111"/>
    <w:rsid w:val="008E1E10"/>
    <w:rsid w:val="008E37DA"/>
    <w:rsid w:val="008E5292"/>
    <w:rsid w:val="008F2137"/>
    <w:rsid w:val="008F332C"/>
    <w:rsid w:val="008F6CFB"/>
    <w:rsid w:val="008F6D2A"/>
    <w:rsid w:val="00900754"/>
    <w:rsid w:val="009054A0"/>
    <w:rsid w:val="0090580E"/>
    <w:rsid w:val="00906B22"/>
    <w:rsid w:val="009132A3"/>
    <w:rsid w:val="00916804"/>
    <w:rsid w:val="00916918"/>
    <w:rsid w:val="00916B7E"/>
    <w:rsid w:val="009218C6"/>
    <w:rsid w:val="00926D29"/>
    <w:rsid w:val="009301A1"/>
    <w:rsid w:val="009349BA"/>
    <w:rsid w:val="00942E2E"/>
    <w:rsid w:val="009433C8"/>
    <w:rsid w:val="009509A0"/>
    <w:rsid w:val="00957197"/>
    <w:rsid w:val="00957D33"/>
    <w:rsid w:val="00962636"/>
    <w:rsid w:val="0096471D"/>
    <w:rsid w:val="00967CE9"/>
    <w:rsid w:val="0097201B"/>
    <w:rsid w:val="00972405"/>
    <w:rsid w:val="00974AB8"/>
    <w:rsid w:val="00977F3C"/>
    <w:rsid w:val="00990058"/>
    <w:rsid w:val="00993467"/>
    <w:rsid w:val="0099643E"/>
    <w:rsid w:val="009A0A3C"/>
    <w:rsid w:val="009A2121"/>
    <w:rsid w:val="009A2CDE"/>
    <w:rsid w:val="009A3C54"/>
    <w:rsid w:val="009C1822"/>
    <w:rsid w:val="009C2F6A"/>
    <w:rsid w:val="009D1DEE"/>
    <w:rsid w:val="009D1E57"/>
    <w:rsid w:val="009D6DEC"/>
    <w:rsid w:val="009E0A14"/>
    <w:rsid w:val="009E27A2"/>
    <w:rsid w:val="009E4596"/>
    <w:rsid w:val="009F3010"/>
    <w:rsid w:val="009F5405"/>
    <w:rsid w:val="009F62F8"/>
    <w:rsid w:val="009F6611"/>
    <w:rsid w:val="00A0169D"/>
    <w:rsid w:val="00A05D4A"/>
    <w:rsid w:val="00A12F72"/>
    <w:rsid w:val="00A21C56"/>
    <w:rsid w:val="00A246EB"/>
    <w:rsid w:val="00A25223"/>
    <w:rsid w:val="00A31C4F"/>
    <w:rsid w:val="00A355A2"/>
    <w:rsid w:val="00A36318"/>
    <w:rsid w:val="00A364D8"/>
    <w:rsid w:val="00A43097"/>
    <w:rsid w:val="00A54A61"/>
    <w:rsid w:val="00A6285B"/>
    <w:rsid w:val="00A767A8"/>
    <w:rsid w:val="00A8208F"/>
    <w:rsid w:val="00A867DE"/>
    <w:rsid w:val="00AA243F"/>
    <w:rsid w:val="00AA6A8C"/>
    <w:rsid w:val="00AB104D"/>
    <w:rsid w:val="00AB1F25"/>
    <w:rsid w:val="00AB5105"/>
    <w:rsid w:val="00AB7EF3"/>
    <w:rsid w:val="00AC6825"/>
    <w:rsid w:val="00AC7C42"/>
    <w:rsid w:val="00AD370B"/>
    <w:rsid w:val="00AD45C9"/>
    <w:rsid w:val="00AD4F35"/>
    <w:rsid w:val="00AE152A"/>
    <w:rsid w:val="00AE2290"/>
    <w:rsid w:val="00AE2E62"/>
    <w:rsid w:val="00AE710F"/>
    <w:rsid w:val="00AF545F"/>
    <w:rsid w:val="00AF5B37"/>
    <w:rsid w:val="00AF5CD3"/>
    <w:rsid w:val="00B01145"/>
    <w:rsid w:val="00B01B89"/>
    <w:rsid w:val="00B03151"/>
    <w:rsid w:val="00B06E5A"/>
    <w:rsid w:val="00B11259"/>
    <w:rsid w:val="00B11CE0"/>
    <w:rsid w:val="00B13882"/>
    <w:rsid w:val="00B13F5F"/>
    <w:rsid w:val="00B25DCF"/>
    <w:rsid w:val="00B324B4"/>
    <w:rsid w:val="00B349FE"/>
    <w:rsid w:val="00B444D8"/>
    <w:rsid w:val="00B53458"/>
    <w:rsid w:val="00B631D4"/>
    <w:rsid w:val="00B643BC"/>
    <w:rsid w:val="00B7039A"/>
    <w:rsid w:val="00B72754"/>
    <w:rsid w:val="00B72C0F"/>
    <w:rsid w:val="00B736FE"/>
    <w:rsid w:val="00B73768"/>
    <w:rsid w:val="00B83F4C"/>
    <w:rsid w:val="00B8437E"/>
    <w:rsid w:val="00B869C8"/>
    <w:rsid w:val="00B86C6B"/>
    <w:rsid w:val="00B87D01"/>
    <w:rsid w:val="00B92324"/>
    <w:rsid w:val="00BA26DA"/>
    <w:rsid w:val="00BA43AC"/>
    <w:rsid w:val="00BB0799"/>
    <w:rsid w:val="00BB4AE6"/>
    <w:rsid w:val="00BB6318"/>
    <w:rsid w:val="00BD3ECF"/>
    <w:rsid w:val="00BD5074"/>
    <w:rsid w:val="00BD667B"/>
    <w:rsid w:val="00BD73C4"/>
    <w:rsid w:val="00BD7F30"/>
    <w:rsid w:val="00BE0625"/>
    <w:rsid w:val="00BE3A6D"/>
    <w:rsid w:val="00BE6EF6"/>
    <w:rsid w:val="00BF3FB9"/>
    <w:rsid w:val="00BF712B"/>
    <w:rsid w:val="00C01EBB"/>
    <w:rsid w:val="00C021E9"/>
    <w:rsid w:val="00C04186"/>
    <w:rsid w:val="00C05BEE"/>
    <w:rsid w:val="00C073B6"/>
    <w:rsid w:val="00C0787D"/>
    <w:rsid w:val="00C150D2"/>
    <w:rsid w:val="00C20A50"/>
    <w:rsid w:val="00C2481A"/>
    <w:rsid w:val="00C24B83"/>
    <w:rsid w:val="00C319F3"/>
    <w:rsid w:val="00C44657"/>
    <w:rsid w:val="00C46A1D"/>
    <w:rsid w:val="00C475B7"/>
    <w:rsid w:val="00C50BC8"/>
    <w:rsid w:val="00C53E5C"/>
    <w:rsid w:val="00C60B69"/>
    <w:rsid w:val="00C6152D"/>
    <w:rsid w:val="00C63B1C"/>
    <w:rsid w:val="00C6786A"/>
    <w:rsid w:val="00C724B8"/>
    <w:rsid w:val="00C75B4C"/>
    <w:rsid w:val="00C76E35"/>
    <w:rsid w:val="00C8714F"/>
    <w:rsid w:val="00C92347"/>
    <w:rsid w:val="00C967EF"/>
    <w:rsid w:val="00C96EE8"/>
    <w:rsid w:val="00CA1685"/>
    <w:rsid w:val="00CB1F06"/>
    <w:rsid w:val="00CB2462"/>
    <w:rsid w:val="00CB6F5D"/>
    <w:rsid w:val="00CB7710"/>
    <w:rsid w:val="00CC0085"/>
    <w:rsid w:val="00CC2654"/>
    <w:rsid w:val="00CC3247"/>
    <w:rsid w:val="00CC33EE"/>
    <w:rsid w:val="00CC3C71"/>
    <w:rsid w:val="00CC3E29"/>
    <w:rsid w:val="00CC6FC6"/>
    <w:rsid w:val="00CD1365"/>
    <w:rsid w:val="00CD2F0A"/>
    <w:rsid w:val="00CD3302"/>
    <w:rsid w:val="00CE02F7"/>
    <w:rsid w:val="00CE6A2B"/>
    <w:rsid w:val="00CF1843"/>
    <w:rsid w:val="00CF1C4F"/>
    <w:rsid w:val="00CF2D05"/>
    <w:rsid w:val="00CF3131"/>
    <w:rsid w:val="00CF7A87"/>
    <w:rsid w:val="00D008C8"/>
    <w:rsid w:val="00D03F40"/>
    <w:rsid w:val="00D05EA6"/>
    <w:rsid w:val="00D10ECC"/>
    <w:rsid w:val="00D117AF"/>
    <w:rsid w:val="00D11B5D"/>
    <w:rsid w:val="00D1315D"/>
    <w:rsid w:val="00D13F48"/>
    <w:rsid w:val="00D22F2F"/>
    <w:rsid w:val="00D23094"/>
    <w:rsid w:val="00D23DAB"/>
    <w:rsid w:val="00D326E4"/>
    <w:rsid w:val="00D35391"/>
    <w:rsid w:val="00D36EBA"/>
    <w:rsid w:val="00D50EE8"/>
    <w:rsid w:val="00D562AC"/>
    <w:rsid w:val="00D61AB0"/>
    <w:rsid w:val="00D6395C"/>
    <w:rsid w:val="00D70570"/>
    <w:rsid w:val="00D77B82"/>
    <w:rsid w:val="00D80406"/>
    <w:rsid w:val="00D821F8"/>
    <w:rsid w:val="00D86426"/>
    <w:rsid w:val="00D87E19"/>
    <w:rsid w:val="00DA6FF0"/>
    <w:rsid w:val="00DB3273"/>
    <w:rsid w:val="00DB5A74"/>
    <w:rsid w:val="00DB5BD0"/>
    <w:rsid w:val="00DC22F0"/>
    <w:rsid w:val="00DC2789"/>
    <w:rsid w:val="00DC50EA"/>
    <w:rsid w:val="00DC5871"/>
    <w:rsid w:val="00DC7C9D"/>
    <w:rsid w:val="00DD0A1C"/>
    <w:rsid w:val="00DD2B83"/>
    <w:rsid w:val="00DD7B4B"/>
    <w:rsid w:val="00DF1B86"/>
    <w:rsid w:val="00DF35BC"/>
    <w:rsid w:val="00DF4C98"/>
    <w:rsid w:val="00DF4D1C"/>
    <w:rsid w:val="00E016F1"/>
    <w:rsid w:val="00E027EC"/>
    <w:rsid w:val="00E0569C"/>
    <w:rsid w:val="00E056BB"/>
    <w:rsid w:val="00E12978"/>
    <w:rsid w:val="00E13395"/>
    <w:rsid w:val="00E1721D"/>
    <w:rsid w:val="00E23DD5"/>
    <w:rsid w:val="00E252E3"/>
    <w:rsid w:val="00E2750A"/>
    <w:rsid w:val="00E32034"/>
    <w:rsid w:val="00E3219E"/>
    <w:rsid w:val="00E32724"/>
    <w:rsid w:val="00E33DAE"/>
    <w:rsid w:val="00E364A7"/>
    <w:rsid w:val="00E4063B"/>
    <w:rsid w:val="00E4332E"/>
    <w:rsid w:val="00E5180C"/>
    <w:rsid w:val="00E51D87"/>
    <w:rsid w:val="00E51EED"/>
    <w:rsid w:val="00E52ECF"/>
    <w:rsid w:val="00E5433C"/>
    <w:rsid w:val="00E54F51"/>
    <w:rsid w:val="00E560CC"/>
    <w:rsid w:val="00E57AFB"/>
    <w:rsid w:val="00E609CF"/>
    <w:rsid w:val="00E61891"/>
    <w:rsid w:val="00E61E36"/>
    <w:rsid w:val="00E63462"/>
    <w:rsid w:val="00E65418"/>
    <w:rsid w:val="00E67C19"/>
    <w:rsid w:val="00E720EF"/>
    <w:rsid w:val="00E752D5"/>
    <w:rsid w:val="00E75B32"/>
    <w:rsid w:val="00E80F73"/>
    <w:rsid w:val="00E83E76"/>
    <w:rsid w:val="00E851BD"/>
    <w:rsid w:val="00E92A39"/>
    <w:rsid w:val="00E968C0"/>
    <w:rsid w:val="00EB3AF9"/>
    <w:rsid w:val="00ED65E2"/>
    <w:rsid w:val="00EE42A6"/>
    <w:rsid w:val="00EF1FFD"/>
    <w:rsid w:val="00EF37AB"/>
    <w:rsid w:val="00F011E8"/>
    <w:rsid w:val="00F029E4"/>
    <w:rsid w:val="00F04046"/>
    <w:rsid w:val="00F07020"/>
    <w:rsid w:val="00F0741C"/>
    <w:rsid w:val="00F13477"/>
    <w:rsid w:val="00F15359"/>
    <w:rsid w:val="00F26ED8"/>
    <w:rsid w:val="00F310ED"/>
    <w:rsid w:val="00F33163"/>
    <w:rsid w:val="00F3504F"/>
    <w:rsid w:val="00F45952"/>
    <w:rsid w:val="00F459E7"/>
    <w:rsid w:val="00F47374"/>
    <w:rsid w:val="00F50C0B"/>
    <w:rsid w:val="00F541A5"/>
    <w:rsid w:val="00F60490"/>
    <w:rsid w:val="00F61534"/>
    <w:rsid w:val="00F66E5E"/>
    <w:rsid w:val="00F72532"/>
    <w:rsid w:val="00F726A9"/>
    <w:rsid w:val="00F812CE"/>
    <w:rsid w:val="00F81C3B"/>
    <w:rsid w:val="00F822E2"/>
    <w:rsid w:val="00F8756D"/>
    <w:rsid w:val="00F91B4F"/>
    <w:rsid w:val="00F9305F"/>
    <w:rsid w:val="00F9433E"/>
    <w:rsid w:val="00F95139"/>
    <w:rsid w:val="00FA07B5"/>
    <w:rsid w:val="00FA37B8"/>
    <w:rsid w:val="00FA57AB"/>
    <w:rsid w:val="00FA7BE1"/>
    <w:rsid w:val="00FB0CCD"/>
    <w:rsid w:val="00FB4DDD"/>
    <w:rsid w:val="00FC5D70"/>
    <w:rsid w:val="00FC7C00"/>
    <w:rsid w:val="00FD03BD"/>
    <w:rsid w:val="00FD09BC"/>
    <w:rsid w:val="00FD42C9"/>
    <w:rsid w:val="00FD4587"/>
    <w:rsid w:val="00FE1541"/>
    <w:rsid w:val="00FE211C"/>
    <w:rsid w:val="00FF185B"/>
    <w:rsid w:val="00FF6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sk-SK"/>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0B4"/>
    <w:rPr>
      <w:rFonts w:ascii="Tahoma" w:hAnsi="Tahoma"/>
      <w:szCs w:val="24"/>
    </w:rPr>
  </w:style>
  <w:style w:type="paragraph" w:styleId="Heading1">
    <w:name w:val="heading 1"/>
    <w:basedOn w:val="Normal"/>
    <w:next w:val="Normal"/>
    <w:link w:val="Heading1Char"/>
    <w:uiPriority w:val="9"/>
    <w:qFormat/>
    <w:rsid w:val="00775892"/>
    <w:pPr>
      <w:keepNext/>
      <w:numPr>
        <w:numId w:val="3"/>
      </w:numPr>
      <w:outlineLvl w:val="0"/>
    </w:pPr>
    <w:rPr>
      <w:b/>
      <w:bCs/>
      <w:kern w:val="32"/>
      <w:sz w:val="24"/>
      <w:szCs w:val="32"/>
    </w:rPr>
  </w:style>
  <w:style w:type="paragraph" w:styleId="Heading2">
    <w:name w:val="heading 2"/>
    <w:basedOn w:val="Normal"/>
    <w:next w:val="Normal"/>
    <w:qFormat/>
    <w:rsid w:val="005A4B4A"/>
    <w:pPr>
      <w:keepNext/>
      <w:numPr>
        <w:ilvl w:val="1"/>
        <w:numId w:val="3"/>
      </w:numPr>
      <w:tabs>
        <w:tab w:val="clear" w:pos="1569"/>
        <w:tab w:val="num" w:pos="709"/>
      </w:tabs>
      <w:ind w:left="567" w:hanging="567"/>
      <w:outlineLvl w:val="1"/>
    </w:pPr>
    <w:rPr>
      <w:rFonts w:cs="Arial"/>
      <w:b/>
      <w:bCs/>
      <w:iCs/>
      <w:szCs w:val="20"/>
    </w:rPr>
  </w:style>
  <w:style w:type="paragraph" w:styleId="Heading3">
    <w:name w:val="heading 3"/>
    <w:basedOn w:val="Normal"/>
    <w:next w:val="Normal"/>
    <w:qFormat/>
    <w:rsid w:val="00F60490"/>
    <w:pPr>
      <w:keepNext/>
      <w:numPr>
        <w:ilvl w:val="2"/>
        <w:numId w:val="3"/>
      </w:numPr>
      <w:ind w:left="1440"/>
      <w:outlineLvl w:val="2"/>
    </w:pPr>
    <w:rPr>
      <w:rFonts w:cs="Arial"/>
      <w:bCs/>
      <w:szCs w:val="26"/>
    </w:rPr>
  </w:style>
  <w:style w:type="paragraph" w:styleId="Heading4">
    <w:name w:val="heading 4"/>
    <w:basedOn w:val="Normal"/>
    <w:next w:val="Normal"/>
    <w:qFormat/>
    <w:rsid w:val="00E252E3"/>
    <w:pPr>
      <w:keepNext/>
      <w:numPr>
        <w:ilvl w:val="3"/>
        <w:numId w:val="3"/>
      </w:numPr>
      <w:spacing w:before="240" w:after="60"/>
      <w:ind w:left="1372" w:hanging="862"/>
      <w:outlineLvl w:val="3"/>
    </w:pPr>
    <w:rPr>
      <w:bCs/>
      <w:szCs w:val="28"/>
    </w:rPr>
  </w:style>
  <w:style w:type="paragraph" w:styleId="Heading5">
    <w:name w:val="heading 5"/>
    <w:basedOn w:val="Normal"/>
    <w:next w:val="Normal"/>
    <w:qFormat/>
    <w:rsid w:val="00863625"/>
    <w:pPr>
      <w:numPr>
        <w:ilvl w:val="4"/>
        <w:numId w:val="3"/>
      </w:numPr>
      <w:spacing w:before="240" w:after="60"/>
      <w:outlineLvl w:val="4"/>
    </w:pPr>
    <w:rPr>
      <w:b/>
      <w:bCs/>
      <w:i/>
      <w:iCs/>
      <w:sz w:val="26"/>
      <w:szCs w:val="26"/>
    </w:rPr>
  </w:style>
  <w:style w:type="paragraph" w:styleId="Heading6">
    <w:name w:val="heading 6"/>
    <w:basedOn w:val="Normal"/>
    <w:next w:val="Normal"/>
    <w:qFormat/>
    <w:rsid w:val="00863625"/>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qFormat/>
    <w:rsid w:val="00863625"/>
    <w:pPr>
      <w:numPr>
        <w:ilvl w:val="6"/>
        <w:numId w:val="3"/>
      </w:numPr>
      <w:spacing w:before="240" w:after="60"/>
      <w:outlineLvl w:val="6"/>
    </w:pPr>
    <w:rPr>
      <w:rFonts w:ascii="Times New Roman" w:hAnsi="Times New Roman"/>
      <w:sz w:val="24"/>
    </w:rPr>
  </w:style>
  <w:style w:type="paragraph" w:styleId="Heading8">
    <w:name w:val="heading 8"/>
    <w:basedOn w:val="Normal"/>
    <w:next w:val="Normal"/>
    <w:qFormat/>
    <w:rsid w:val="00863625"/>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qFormat/>
    <w:rsid w:val="00863625"/>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E-mailSignature">
    <w:name w:val="E-mail Signature"/>
    <w:basedOn w:val="Normal"/>
  </w:style>
  <w:style w:type="character" w:styleId="Strong">
    <w:name w:val="Strong"/>
    <w:uiPriority w:val="22"/>
    <w:qFormat/>
    <w:rPr>
      <w:b/>
      <w:bCs/>
    </w:rPr>
  </w:style>
  <w:style w:type="character" w:styleId="Emphasis">
    <w:name w:val="Emphasis"/>
    <w:qFormat/>
    <w:rPr>
      <w:i/>
      <w:iCs/>
    </w:rPr>
  </w:style>
  <w:style w:type="character" w:styleId="Hyperlink">
    <w:name w:val="Hyperlink"/>
    <w:uiPriority w:val="99"/>
    <w:rPr>
      <w:color w:val="0000FF"/>
      <w:u w:val="single"/>
    </w:rPr>
  </w:style>
  <w:style w:type="paragraph" w:styleId="Footer">
    <w:name w:val="footer"/>
    <w:basedOn w:val="Normal"/>
    <w:rsid w:val="007541F5"/>
    <w:pPr>
      <w:tabs>
        <w:tab w:val="center" w:pos="4153"/>
        <w:tab w:val="right" w:pos="8306"/>
      </w:tabs>
    </w:pPr>
  </w:style>
  <w:style w:type="character" w:styleId="PageNumber">
    <w:name w:val="page number"/>
    <w:basedOn w:val="DefaultParagraphFont"/>
    <w:rsid w:val="007541F5"/>
  </w:style>
  <w:style w:type="paragraph" w:styleId="EndnoteText">
    <w:name w:val="endnote text"/>
    <w:basedOn w:val="Normal"/>
    <w:semiHidden/>
    <w:rsid w:val="007700BC"/>
    <w:rPr>
      <w:szCs w:val="20"/>
    </w:rPr>
  </w:style>
  <w:style w:type="character" w:styleId="EndnoteReference">
    <w:name w:val="endnote reference"/>
    <w:semiHidden/>
    <w:rsid w:val="007700BC"/>
    <w:rPr>
      <w:vertAlign w:val="superscript"/>
    </w:rPr>
  </w:style>
  <w:style w:type="paragraph" w:styleId="TOC1">
    <w:name w:val="toc 1"/>
    <w:basedOn w:val="Normal"/>
    <w:next w:val="Normal"/>
    <w:autoRedefine/>
    <w:uiPriority w:val="39"/>
    <w:rsid w:val="004831A2"/>
    <w:pPr>
      <w:tabs>
        <w:tab w:val="left" w:pos="480"/>
        <w:tab w:val="right" w:leader="dot" w:pos="8828"/>
      </w:tabs>
    </w:pPr>
    <w:rPr>
      <w:rFonts w:ascii="Verdana" w:hAnsi="Verdana"/>
      <w:b/>
      <w:noProof/>
    </w:rPr>
  </w:style>
  <w:style w:type="paragraph" w:styleId="TOC2">
    <w:name w:val="toc 2"/>
    <w:basedOn w:val="Normal"/>
    <w:next w:val="Normal"/>
    <w:autoRedefine/>
    <w:uiPriority w:val="39"/>
    <w:rsid w:val="00775892"/>
    <w:pPr>
      <w:ind w:left="200"/>
    </w:pPr>
  </w:style>
  <w:style w:type="paragraph" w:styleId="TOC3">
    <w:name w:val="toc 3"/>
    <w:basedOn w:val="Normal"/>
    <w:next w:val="Normal"/>
    <w:autoRedefine/>
    <w:uiPriority w:val="39"/>
    <w:rsid w:val="007F7FC9"/>
    <w:pPr>
      <w:tabs>
        <w:tab w:val="left" w:pos="1200"/>
        <w:tab w:val="right" w:leader="dot" w:pos="8828"/>
      </w:tabs>
      <w:ind w:left="200"/>
    </w:pPr>
  </w:style>
  <w:style w:type="paragraph" w:styleId="BalloonText">
    <w:name w:val="Balloon Text"/>
    <w:basedOn w:val="Normal"/>
    <w:semiHidden/>
    <w:rsid w:val="00E5180C"/>
    <w:rPr>
      <w:rFonts w:cs="Tahoma"/>
      <w:sz w:val="16"/>
      <w:szCs w:val="16"/>
    </w:rPr>
  </w:style>
  <w:style w:type="paragraph" w:styleId="Header">
    <w:name w:val="header"/>
    <w:basedOn w:val="Normal"/>
    <w:link w:val="HeaderChar"/>
    <w:rsid w:val="007F7FC9"/>
    <w:pPr>
      <w:tabs>
        <w:tab w:val="center" w:pos="4536"/>
        <w:tab w:val="right" w:pos="9072"/>
      </w:tabs>
    </w:pPr>
  </w:style>
  <w:style w:type="character" w:customStyle="1" w:styleId="HeaderChar">
    <w:name w:val="Header Char"/>
    <w:link w:val="Header"/>
    <w:rsid w:val="007F7FC9"/>
    <w:rPr>
      <w:rFonts w:ascii="Tahoma" w:hAnsi="Tahoma"/>
      <w:szCs w:val="24"/>
      <w:lang w:val="sk-SK" w:eastAsia="sk-SK"/>
    </w:rPr>
  </w:style>
  <w:style w:type="paragraph" w:styleId="NormalWeb">
    <w:name w:val="Normal (Web)"/>
    <w:basedOn w:val="Normal"/>
    <w:uiPriority w:val="99"/>
    <w:unhideWhenUsed/>
    <w:rsid w:val="0033448F"/>
    <w:pPr>
      <w:spacing w:before="100" w:beforeAutospacing="1" w:after="100" w:afterAutospacing="1"/>
    </w:pPr>
    <w:rPr>
      <w:rFonts w:cs="Tahoma"/>
      <w:color w:val="000000"/>
      <w:szCs w:val="20"/>
    </w:rPr>
  </w:style>
  <w:style w:type="paragraph" w:styleId="BodyText">
    <w:name w:val="Body Text"/>
    <w:basedOn w:val="Normal"/>
    <w:link w:val="BodyTextChar"/>
    <w:rsid w:val="0033448F"/>
    <w:pPr>
      <w:jc w:val="both"/>
    </w:pPr>
    <w:rPr>
      <w:rFonts w:eastAsia="SimSun"/>
    </w:rPr>
  </w:style>
  <w:style w:type="character" w:customStyle="1" w:styleId="BodyTextChar">
    <w:name w:val="Body Text Char"/>
    <w:link w:val="BodyText"/>
    <w:rsid w:val="0033448F"/>
    <w:rPr>
      <w:rFonts w:ascii="Tahoma" w:eastAsia="SimSun" w:hAnsi="Tahoma" w:cs="Tahoma"/>
      <w:szCs w:val="24"/>
      <w:lang w:val="sk-SK" w:eastAsia="sk-SK"/>
    </w:rPr>
  </w:style>
  <w:style w:type="paragraph" w:styleId="NoSpacing">
    <w:name w:val="No Spacing"/>
    <w:uiPriority w:val="1"/>
    <w:qFormat/>
    <w:rsid w:val="006C2D6A"/>
    <w:pPr>
      <w:jc w:val="both"/>
    </w:pPr>
    <w:rPr>
      <w:rFonts w:ascii="Tahoma" w:eastAsia="Calibri" w:hAnsi="Tahoma"/>
      <w:szCs w:val="22"/>
    </w:rPr>
  </w:style>
  <w:style w:type="paragraph" w:customStyle="1" w:styleId="Corpsdetexte6">
    <w:name w:val="Corps de texte 6"/>
    <w:basedOn w:val="Normal"/>
    <w:rsid w:val="000160B1"/>
    <w:pPr>
      <w:spacing w:after="240"/>
      <w:ind w:left="1985"/>
      <w:jc w:val="both"/>
    </w:pPr>
    <w:rPr>
      <w:rFonts w:ascii="Times New Roman" w:hAnsi="Times New Roman"/>
      <w:sz w:val="22"/>
      <w:szCs w:val="22"/>
    </w:rPr>
  </w:style>
  <w:style w:type="paragraph" w:customStyle="1" w:styleId="Liste1">
    <w:name w:val="Liste 1"/>
    <w:basedOn w:val="Normal"/>
    <w:next w:val="BodyText"/>
    <w:rsid w:val="000160B1"/>
    <w:pPr>
      <w:tabs>
        <w:tab w:val="num" w:pos="432"/>
      </w:tabs>
      <w:spacing w:after="120"/>
      <w:ind w:left="432" w:hanging="432"/>
      <w:jc w:val="both"/>
    </w:pPr>
    <w:rPr>
      <w:rFonts w:ascii="Times New Roman" w:hAnsi="Times New Roman"/>
      <w:sz w:val="22"/>
      <w:szCs w:val="22"/>
    </w:rPr>
  </w:style>
  <w:style w:type="paragraph" w:styleId="FootnoteText">
    <w:name w:val="footnote text"/>
    <w:aliases w:val="n,Fußnotentext wam,Footnote Text Char2 Char,Footnote Text Char Char Char1,Footnote Text Char1 Char Char Char,Footnote Text Char2 Char Char Char Char,Footnote Text Char1 Char1 Char Char Char Char"/>
    <w:basedOn w:val="Normal"/>
    <w:link w:val="FootnoteTextChar"/>
    <w:rsid w:val="000160B1"/>
    <w:pPr>
      <w:jc w:val="both"/>
    </w:pPr>
    <w:rPr>
      <w:rFonts w:ascii="Times New Roman" w:hAnsi="Times New Roman"/>
      <w:szCs w:val="20"/>
    </w:rPr>
  </w:style>
  <w:style w:type="character" w:customStyle="1" w:styleId="FootnoteTextChar">
    <w:name w:val="Footnote Text Char"/>
    <w:aliases w:val="n Char,Fußnotentext wam Char,Footnote Text Char2 Char Char,Footnote Text Char Char Char1 Char,Footnote Text Char1 Char Char Char Char,Footnote Text Char2 Char Char Char Char Char,Footnote Text Char1 Char1 Char Char Char Char Char"/>
    <w:link w:val="FootnoteText"/>
    <w:rsid w:val="000160B1"/>
    <w:rPr>
      <w:lang w:val="sk-SK" w:eastAsia="sk-SK"/>
    </w:rPr>
  </w:style>
  <w:style w:type="character" w:styleId="FootnoteReference">
    <w:name w:val="footnote reference"/>
    <w:aliases w:val="Footnote number"/>
    <w:rsid w:val="000160B1"/>
    <w:rPr>
      <w:rFonts w:cs="Times New Roman"/>
      <w:vertAlign w:val="superscript"/>
    </w:rPr>
  </w:style>
  <w:style w:type="paragraph" w:customStyle="1" w:styleId="CM1">
    <w:name w:val="CM1"/>
    <w:basedOn w:val="Normal"/>
    <w:next w:val="Normal"/>
    <w:uiPriority w:val="99"/>
    <w:rsid w:val="00DF1B86"/>
    <w:pPr>
      <w:autoSpaceDE w:val="0"/>
      <w:autoSpaceDN w:val="0"/>
      <w:adjustRightInd w:val="0"/>
    </w:pPr>
    <w:rPr>
      <w:rFonts w:ascii="EUAlbertina" w:hAnsi="EUAlbertina"/>
      <w:sz w:val="24"/>
    </w:rPr>
  </w:style>
  <w:style w:type="paragraph" w:customStyle="1" w:styleId="CM3">
    <w:name w:val="CM3"/>
    <w:basedOn w:val="Normal"/>
    <w:next w:val="Normal"/>
    <w:uiPriority w:val="99"/>
    <w:rsid w:val="00DF1B86"/>
    <w:pPr>
      <w:autoSpaceDE w:val="0"/>
      <w:autoSpaceDN w:val="0"/>
      <w:adjustRightInd w:val="0"/>
    </w:pPr>
    <w:rPr>
      <w:rFonts w:ascii="EUAlbertina" w:hAnsi="EUAlbertina"/>
      <w:sz w:val="24"/>
    </w:rPr>
  </w:style>
  <w:style w:type="character" w:styleId="CommentReference">
    <w:name w:val="annotation reference"/>
    <w:rsid w:val="002F0AB8"/>
    <w:rPr>
      <w:sz w:val="16"/>
      <w:szCs w:val="16"/>
    </w:rPr>
  </w:style>
  <w:style w:type="paragraph" w:styleId="CommentText">
    <w:name w:val="annotation text"/>
    <w:basedOn w:val="Normal"/>
    <w:link w:val="CommentTextChar"/>
    <w:rsid w:val="002F0AB8"/>
    <w:rPr>
      <w:szCs w:val="20"/>
    </w:rPr>
  </w:style>
  <w:style w:type="character" w:customStyle="1" w:styleId="CommentTextChar">
    <w:name w:val="Comment Text Char"/>
    <w:link w:val="CommentText"/>
    <w:rsid w:val="002F0AB8"/>
    <w:rPr>
      <w:rFonts w:ascii="Tahoma" w:hAnsi="Tahoma"/>
      <w:lang w:eastAsia="sk-SK"/>
    </w:rPr>
  </w:style>
  <w:style w:type="paragraph" w:styleId="CommentSubject">
    <w:name w:val="annotation subject"/>
    <w:basedOn w:val="CommentText"/>
    <w:next w:val="CommentText"/>
    <w:link w:val="CommentSubjectChar"/>
    <w:rsid w:val="002F0AB8"/>
    <w:rPr>
      <w:b/>
      <w:bCs/>
    </w:rPr>
  </w:style>
  <w:style w:type="character" w:customStyle="1" w:styleId="CommentSubjectChar">
    <w:name w:val="Comment Subject Char"/>
    <w:link w:val="CommentSubject"/>
    <w:rsid w:val="002F0AB8"/>
    <w:rPr>
      <w:rFonts w:ascii="Tahoma" w:hAnsi="Tahoma"/>
      <w:b/>
      <w:bCs/>
      <w:lang w:eastAsia="sk-SK"/>
    </w:rPr>
  </w:style>
  <w:style w:type="table" w:styleId="TableGrid">
    <w:name w:val="Table Grid"/>
    <w:basedOn w:val="TableNormal"/>
    <w:uiPriority w:val="59"/>
    <w:rsid w:val="00AB1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73C87"/>
    <w:pPr>
      <w:keepLines/>
      <w:numPr>
        <w:numId w:val="0"/>
      </w:numPr>
      <w:spacing w:before="480" w:line="276" w:lineRule="auto"/>
      <w:outlineLvl w:val="9"/>
    </w:pPr>
    <w:rPr>
      <w:rFonts w:ascii="Cambria" w:eastAsia="MS Gothic" w:hAnsi="Cambria"/>
      <w:color w:val="365F91"/>
      <w:kern w:val="0"/>
      <w:sz w:val="28"/>
      <w:szCs w:val="28"/>
    </w:rPr>
  </w:style>
  <w:style w:type="character" w:customStyle="1" w:styleId="Heading1Char">
    <w:name w:val="Heading 1 Char"/>
    <w:link w:val="Heading1"/>
    <w:uiPriority w:val="9"/>
    <w:rsid w:val="00006AAF"/>
    <w:rPr>
      <w:rFonts w:ascii="Tahoma" w:hAnsi="Tahoma" w:cs="Arial"/>
      <w:b/>
      <w:bCs/>
      <w:kern w:val="32"/>
      <w:sz w:val="24"/>
      <w:szCs w:val="32"/>
      <w:lang w:val="sk-SK" w:eastAsia="sk-SK"/>
    </w:rPr>
  </w:style>
  <w:style w:type="paragraph" w:customStyle="1" w:styleId="Default">
    <w:name w:val="Default"/>
    <w:rsid w:val="008645C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F3FB9"/>
    <w:pPr>
      <w:ind w:left="720"/>
    </w:pPr>
  </w:style>
  <w:style w:type="paragraph" w:styleId="BodyTextIndent2">
    <w:name w:val="Body Text Indent 2"/>
    <w:basedOn w:val="Normal"/>
    <w:link w:val="BodyTextIndent2Char"/>
    <w:rsid w:val="00E016F1"/>
    <w:pPr>
      <w:spacing w:after="120" w:line="480" w:lineRule="auto"/>
      <w:ind w:left="283"/>
    </w:pPr>
  </w:style>
  <w:style w:type="character" w:customStyle="1" w:styleId="BodyTextIndent2Char">
    <w:name w:val="Body Text Indent 2 Char"/>
    <w:link w:val="BodyTextIndent2"/>
    <w:rsid w:val="00E016F1"/>
    <w:rPr>
      <w:rFonts w:ascii="Tahoma" w:hAnsi="Tahoma"/>
      <w:szCs w:val="24"/>
      <w:lang w:eastAsia="sk-SK"/>
    </w:rPr>
  </w:style>
  <w:style w:type="paragraph" w:styleId="BodyText3">
    <w:name w:val="Body Text 3"/>
    <w:basedOn w:val="Normal"/>
    <w:link w:val="BodyText3Char"/>
    <w:rsid w:val="005C03F3"/>
    <w:pPr>
      <w:spacing w:after="120"/>
    </w:pPr>
    <w:rPr>
      <w:sz w:val="16"/>
      <w:szCs w:val="16"/>
    </w:rPr>
  </w:style>
  <w:style w:type="character" w:customStyle="1" w:styleId="BodyText3Char">
    <w:name w:val="Body Text 3 Char"/>
    <w:link w:val="BodyText3"/>
    <w:rsid w:val="005C03F3"/>
    <w:rPr>
      <w:rFonts w:ascii="Tahoma" w:hAnsi="Tahoma"/>
      <w:sz w:val="16"/>
      <w:szCs w:val="16"/>
      <w:lang w:eastAsia="sk-SK"/>
    </w:rPr>
  </w:style>
  <w:style w:type="paragraph" w:styleId="Title">
    <w:name w:val="Title"/>
    <w:basedOn w:val="Normal"/>
    <w:link w:val="TitleChar"/>
    <w:qFormat/>
    <w:rsid w:val="005C03F3"/>
    <w:pPr>
      <w:jc w:val="center"/>
    </w:pPr>
    <w:rPr>
      <w:rFonts w:ascii="Antique Olive" w:hAnsi="Antique Olive"/>
      <w:b/>
      <w:bCs/>
      <w:sz w:val="28"/>
      <w:szCs w:val="28"/>
      <w:u w:val="single"/>
    </w:rPr>
  </w:style>
  <w:style w:type="character" w:customStyle="1" w:styleId="TitleChar">
    <w:name w:val="Title Char"/>
    <w:link w:val="Title"/>
    <w:rsid w:val="005C03F3"/>
    <w:rPr>
      <w:rFonts w:ascii="Antique Olive" w:hAnsi="Antique Olive"/>
      <w:b/>
      <w:bCs/>
      <w:sz w:val="28"/>
      <w:szCs w:val="28"/>
      <w:u w:val="single"/>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sk-SK"/>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0B4"/>
    <w:rPr>
      <w:rFonts w:ascii="Tahoma" w:hAnsi="Tahoma"/>
      <w:szCs w:val="24"/>
    </w:rPr>
  </w:style>
  <w:style w:type="paragraph" w:styleId="Heading1">
    <w:name w:val="heading 1"/>
    <w:basedOn w:val="Normal"/>
    <w:next w:val="Normal"/>
    <w:link w:val="Heading1Char"/>
    <w:uiPriority w:val="9"/>
    <w:qFormat/>
    <w:rsid w:val="00775892"/>
    <w:pPr>
      <w:keepNext/>
      <w:numPr>
        <w:numId w:val="3"/>
      </w:numPr>
      <w:outlineLvl w:val="0"/>
    </w:pPr>
    <w:rPr>
      <w:b/>
      <w:bCs/>
      <w:kern w:val="32"/>
      <w:sz w:val="24"/>
      <w:szCs w:val="32"/>
    </w:rPr>
  </w:style>
  <w:style w:type="paragraph" w:styleId="Heading2">
    <w:name w:val="heading 2"/>
    <w:basedOn w:val="Normal"/>
    <w:next w:val="Normal"/>
    <w:qFormat/>
    <w:rsid w:val="005A4B4A"/>
    <w:pPr>
      <w:keepNext/>
      <w:numPr>
        <w:ilvl w:val="1"/>
        <w:numId w:val="3"/>
      </w:numPr>
      <w:tabs>
        <w:tab w:val="clear" w:pos="1569"/>
        <w:tab w:val="num" w:pos="709"/>
      </w:tabs>
      <w:ind w:left="567" w:hanging="567"/>
      <w:outlineLvl w:val="1"/>
    </w:pPr>
    <w:rPr>
      <w:rFonts w:cs="Arial"/>
      <w:b/>
      <w:bCs/>
      <w:iCs/>
      <w:szCs w:val="20"/>
    </w:rPr>
  </w:style>
  <w:style w:type="paragraph" w:styleId="Heading3">
    <w:name w:val="heading 3"/>
    <w:basedOn w:val="Normal"/>
    <w:next w:val="Normal"/>
    <w:qFormat/>
    <w:rsid w:val="00F60490"/>
    <w:pPr>
      <w:keepNext/>
      <w:numPr>
        <w:ilvl w:val="2"/>
        <w:numId w:val="3"/>
      </w:numPr>
      <w:ind w:left="1440"/>
      <w:outlineLvl w:val="2"/>
    </w:pPr>
    <w:rPr>
      <w:rFonts w:cs="Arial"/>
      <w:bCs/>
      <w:szCs w:val="26"/>
    </w:rPr>
  </w:style>
  <w:style w:type="paragraph" w:styleId="Heading4">
    <w:name w:val="heading 4"/>
    <w:basedOn w:val="Normal"/>
    <w:next w:val="Normal"/>
    <w:qFormat/>
    <w:rsid w:val="00E252E3"/>
    <w:pPr>
      <w:keepNext/>
      <w:numPr>
        <w:ilvl w:val="3"/>
        <w:numId w:val="3"/>
      </w:numPr>
      <w:spacing w:before="240" w:after="60"/>
      <w:ind w:left="1372" w:hanging="862"/>
      <w:outlineLvl w:val="3"/>
    </w:pPr>
    <w:rPr>
      <w:bCs/>
      <w:szCs w:val="28"/>
    </w:rPr>
  </w:style>
  <w:style w:type="paragraph" w:styleId="Heading5">
    <w:name w:val="heading 5"/>
    <w:basedOn w:val="Normal"/>
    <w:next w:val="Normal"/>
    <w:qFormat/>
    <w:rsid w:val="00863625"/>
    <w:pPr>
      <w:numPr>
        <w:ilvl w:val="4"/>
        <w:numId w:val="3"/>
      </w:numPr>
      <w:spacing w:before="240" w:after="60"/>
      <w:outlineLvl w:val="4"/>
    </w:pPr>
    <w:rPr>
      <w:b/>
      <w:bCs/>
      <w:i/>
      <w:iCs/>
      <w:sz w:val="26"/>
      <w:szCs w:val="26"/>
    </w:rPr>
  </w:style>
  <w:style w:type="paragraph" w:styleId="Heading6">
    <w:name w:val="heading 6"/>
    <w:basedOn w:val="Normal"/>
    <w:next w:val="Normal"/>
    <w:qFormat/>
    <w:rsid w:val="00863625"/>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qFormat/>
    <w:rsid w:val="00863625"/>
    <w:pPr>
      <w:numPr>
        <w:ilvl w:val="6"/>
        <w:numId w:val="3"/>
      </w:numPr>
      <w:spacing w:before="240" w:after="60"/>
      <w:outlineLvl w:val="6"/>
    </w:pPr>
    <w:rPr>
      <w:rFonts w:ascii="Times New Roman" w:hAnsi="Times New Roman"/>
      <w:sz w:val="24"/>
    </w:rPr>
  </w:style>
  <w:style w:type="paragraph" w:styleId="Heading8">
    <w:name w:val="heading 8"/>
    <w:basedOn w:val="Normal"/>
    <w:next w:val="Normal"/>
    <w:qFormat/>
    <w:rsid w:val="00863625"/>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qFormat/>
    <w:rsid w:val="00863625"/>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E-mailSignature">
    <w:name w:val="E-mail Signature"/>
    <w:basedOn w:val="Normal"/>
  </w:style>
  <w:style w:type="character" w:styleId="Strong">
    <w:name w:val="Strong"/>
    <w:uiPriority w:val="22"/>
    <w:qFormat/>
    <w:rPr>
      <w:b/>
      <w:bCs/>
    </w:rPr>
  </w:style>
  <w:style w:type="character" w:styleId="Emphasis">
    <w:name w:val="Emphasis"/>
    <w:qFormat/>
    <w:rPr>
      <w:i/>
      <w:iCs/>
    </w:rPr>
  </w:style>
  <w:style w:type="character" w:styleId="Hyperlink">
    <w:name w:val="Hyperlink"/>
    <w:uiPriority w:val="99"/>
    <w:rPr>
      <w:color w:val="0000FF"/>
      <w:u w:val="single"/>
    </w:rPr>
  </w:style>
  <w:style w:type="paragraph" w:styleId="Footer">
    <w:name w:val="footer"/>
    <w:basedOn w:val="Normal"/>
    <w:rsid w:val="007541F5"/>
    <w:pPr>
      <w:tabs>
        <w:tab w:val="center" w:pos="4153"/>
        <w:tab w:val="right" w:pos="8306"/>
      </w:tabs>
    </w:pPr>
  </w:style>
  <w:style w:type="character" w:styleId="PageNumber">
    <w:name w:val="page number"/>
    <w:basedOn w:val="DefaultParagraphFont"/>
    <w:rsid w:val="007541F5"/>
  </w:style>
  <w:style w:type="paragraph" w:styleId="EndnoteText">
    <w:name w:val="endnote text"/>
    <w:basedOn w:val="Normal"/>
    <w:semiHidden/>
    <w:rsid w:val="007700BC"/>
    <w:rPr>
      <w:szCs w:val="20"/>
    </w:rPr>
  </w:style>
  <w:style w:type="character" w:styleId="EndnoteReference">
    <w:name w:val="endnote reference"/>
    <w:semiHidden/>
    <w:rsid w:val="007700BC"/>
    <w:rPr>
      <w:vertAlign w:val="superscript"/>
    </w:rPr>
  </w:style>
  <w:style w:type="paragraph" w:styleId="TOC1">
    <w:name w:val="toc 1"/>
    <w:basedOn w:val="Normal"/>
    <w:next w:val="Normal"/>
    <w:autoRedefine/>
    <w:uiPriority w:val="39"/>
    <w:rsid w:val="004831A2"/>
    <w:pPr>
      <w:tabs>
        <w:tab w:val="left" w:pos="480"/>
        <w:tab w:val="right" w:leader="dot" w:pos="8828"/>
      </w:tabs>
    </w:pPr>
    <w:rPr>
      <w:rFonts w:ascii="Verdana" w:hAnsi="Verdana"/>
      <w:b/>
      <w:noProof/>
    </w:rPr>
  </w:style>
  <w:style w:type="paragraph" w:styleId="TOC2">
    <w:name w:val="toc 2"/>
    <w:basedOn w:val="Normal"/>
    <w:next w:val="Normal"/>
    <w:autoRedefine/>
    <w:uiPriority w:val="39"/>
    <w:rsid w:val="00775892"/>
    <w:pPr>
      <w:ind w:left="200"/>
    </w:pPr>
  </w:style>
  <w:style w:type="paragraph" w:styleId="TOC3">
    <w:name w:val="toc 3"/>
    <w:basedOn w:val="Normal"/>
    <w:next w:val="Normal"/>
    <w:autoRedefine/>
    <w:uiPriority w:val="39"/>
    <w:rsid w:val="007F7FC9"/>
    <w:pPr>
      <w:tabs>
        <w:tab w:val="left" w:pos="1200"/>
        <w:tab w:val="right" w:leader="dot" w:pos="8828"/>
      </w:tabs>
      <w:ind w:left="200"/>
    </w:pPr>
  </w:style>
  <w:style w:type="paragraph" w:styleId="BalloonText">
    <w:name w:val="Balloon Text"/>
    <w:basedOn w:val="Normal"/>
    <w:semiHidden/>
    <w:rsid w:val="00E5180C"/>
    <w:rPr>
      <w:rFonts w:cs="Tahoma"/>
      <w:sz w:val="16"/>
      <w:szCs w:val="16"/>
    </w:rPr>
  </w:style>
  <w:style w:type="paragraph" w:styleId="Header">
    <w:name w:val="header"/>
    <w:basedOn w:val="Normal"/>
    <w:link w:val="HeaderChar"/>
    <w:rsid w:val="007F7FC9"/>
    <w:pPr>
      <w:tabs>
        <w:tab w:val="center" w:pos="4536"/>
        <w:tab w:val="right" w:pos="9072"/>
      </w:tabs>
    </w:pPr>
  </w:style>
  <w:style w:type="character" w:customStyle="1" w:styleId="HeaderChar">
    <w:name w:val="Header Char"/>
    <w:link w:val="Header"/>
    <w:rsid w:val="007F7FC9"/>
    <w:rPr>
      <w:rFonts w:ascii="Tahoma" w:hAnsi="Tahoma"/>
      <w:szCs w:val="24"/>
      <w:lang w:val="sk-SK" w:eastAsia="sk-SK"/>
    </w:rPr>
  </w:style>
  <w:style w:type="paragraph" w:styleId="NormalWeb">
    <w:name w:val="Normal (Web)"/>
    <w:basedOn w:val="Normal"/>
    <w:uiPriority w:val="99"/>
    <w:unhideWhenUsed/>
    <w:rsid w:val="0033448F"/>
    <w:pPr>
      <w:spacing w:before="100" w:beforeAutospacing="1" w:after="100" w:afterAutospacing="1"/>
    </w:pPr>
    <w:rPr>
      <w:rFonts w:cs="Tahoma"/>
      <w:color w:val="000000"/>
      <w:szCs w:val="20"/>
    </w:rPr>
  </w:style>
  <w:style w:type="paragraph" w:styleId="BodyText">
    <w:name w:val="Body Text"/>
    <w:basedOn w:val="Normal"/>
    <w:link w:val="BodyTextChar"/>
    <w:rsid w:val="0033448F"/>
    <w:pPr>
      <w:jc w:val="both"/>
    </w:pPr>
    <w:rPr>
      <w:rFonts w:eastAsia="SimSun"/>
    </w:rPr>
  </w:style>
  <w:style w:type="character" w:customStyle="1" w:styleId="BodyTextChar">
    <w:name w:val="Body Text Char"/>
    <w:link w:val="BodyText"/>
    <w:rsid w:val="0033448F"/>
    <w:rPr>
      <w:rFonts w:ascii="Tahoma" w:eastAsia="SimSun" w:hAnsi="Tahoma" w:cs="Tahoma"/>
      <w:szCs w:val="24"/>
      <w:lang w:val="sk-SK" w:eastAsia="sk-SK"/>
    </w:rPr>
  </w:style>
  <w:style w:type="paragraph" w:styleId="NoSpacing">
    <w:name w:val="No Spacing"/>
    <w:uiPriority w:val="1"/>
    <w:qFormat/>
    <w:rsid w:val="006C2D6A"/>
    <w:pPr>
      <w:jc w:val="both"/>
    </w:pPr>
    <w:rPr>
      <w:rFonts w:ascii="Tahoma" w:eastAsia="Calibri" w:hAnsi="Tahoma"/>
      <w:szCs w:val="22"/>
    </w:rPr>
  </w:style>
  <w:style w:type="paragraph" w:customStyle="1" w:styleId="Corpsdetexte6">
    <w:name w:val="Corps de texte 6"/>
    <w:basedOn w:val="Normal"/>
    <w:rsid w:val="000160B1"/>
    <w:pPr>
      <w:spacing w:after="240"/>
      <w:ind w:left="1985"/>
      <w:jc w:val="both"/>
    </w:pPr>
    <w:rPr>
      <w:rFonts w:ascii="Times New Roman" w:hAnsi="Times New Roman"/>
      <w:sz w:val="22"/>
      <w:szCs w:val="22"/>
    </w:rPr>
  </w:style>
  <w:style w:type="paragraph" w:customStyle="1" w:styleId="Liste1">
    <w:name w:val="Liste 1"/>
    <w:basedOn w:val="Normal"/>
    <w:next w:val="BodyText"/>
    <w:rsid w:val="000160B1"/>
    <w:pPr>
      <w:tabs>
        <w:tab w:val="num" w:pos="432"/>
      </w:tabs>
      <w:spacing w:after="120"/>
      <w:ind w:left="432" w:hanging="432"/>
      <w:jc w:val="both"/>
    </w:pPr>
    <w:rPr>
      <w:rFonts w:ascii="Times New Roman" w:hAnsi="Times New Roman"/>
      <w:sz w:val="22"/>
      <w:szCs w:val="22"/>
    </w:rPr>
  </w:style>
  <w:style w:type="paragraph" w:styleId="FootnoteText">
    <w:name w:val="footnote text"/>
    <w:aliases w:val="n,Fußnotentext wam,Footnote Text Char2 Char,Footnote Text Char Char Char1,Footnote Text Char1 Char Char Char,Footnote Text Char2 Char Char Char Char,Footnote Text Char1 Char1 Char Char Char Char"/>
    <w:basedOn w:val="Normal"/>
    <w:link w:val="FootnoteTextChar"/>
    <w:rsid w:val="000160B1"/>
    <w:pPr>
      <w:jc w:val="both"/>
    </w:pPr>
    <w:rPr>
      <w:rFonts w:ascii="Times New Roman" w:hAnsi="Times New Roman"/>
      <w:szCs w:val="20"/>
    </w:rPr>
  </w:style>
  <w:style w:type="character" w:customStyle="1" w:styleId="FootnoteTextChar">
    <w:name w:val="Footnote Text Char"/>
    <w:aliases w:val="n Char,Fußnotentext wam Char,Footnote Text Char2 Char Char,Footnote Text Char Char Char1 Char,Footnote Text Char1 Char Char Char Char,Footnote Text Char2 Char Char Char Char Char,Footnote Text Char1 Char1 Char Char Char Char Char"/>
    <w:link w:val="FootnoteText"/>
    <w:rsid w:val="000160B1"/>
    <w:rPr>
      <w:lang w:val="sk-SK" w:eastAsia="sk-SK"/>
    </w:rPr>
  </w:style>
  <w:style w:type="character" w:styleId="FootnoteReference">
    <w:name w:val="footnote reference"/>
    <w:aliases w:val="Footnote number"/>
    <w:rsid w:val="000160B1"/>
    <w:rPr>
      <w:rFonts w:cs="Times New Roman"/>
      <w:vertAlign w:val="superscript"/>
    </w:rPr>
  </w:style>
  <w:style w:type="paragraph" w:customStyle="1" w:styleId="CM1">
    <w:name w:val="CM1"/>
    <w:basedOn w:val="Normal"/>
    <w:next w:val="Normal"/>
    <w:uiPriority w:val="99"/>
    <w:rsid w:val="00DF1B86"/>
    <w:pPr>
      <w:autoSpaceDE w:val="0"/>
      <w:autoSpaceDN w:val="0"/>
      <w:adjustRightInd w:val="0"/>
    </w:pPr>
    <w:rPr>
      <w:rFonts w:ascii="EUAlbertina" w:hAnsi="EUAlbertina"/>
      <w:sz w:val="24"/>
    </w:rPr>
  </w:style>
  <w:style w:type="paragraph" w:customStyle="1" w:styleId="CM3">
    <w:name w:val="CM3"/>
    <w:basedOn w:val="Normal"/>
    <w:next w:val="Normal"/>
    <w:uiPriority w:val="99"/>
    <w:rsid w:val="00DF1B86"/>
    <w:pPr>
      <w:autoSpaceDE w:val="0"/>
      <w:autoSpaceDN w:val="0"/>
      <w:adjustRightInd w:val="0"/>
    </w:pPr>
    <w:rPr>
      <w:rFonts w:ascii="EUAlbertina" w:hAnsi="EUAlbertina"/>
      <w:sz w:val="24"/>
    </w:rPr>
  </w:style>
  <w:style w:type="character" w:styleId="CommentReference">
    <w:name w:val="annotation reference"/>
    <w:rsid w:val="002F0AB8"/>
    <w:rPr>
      <w:sz w:val="16"/>
      <w:szCs w:val="16"/>
    </w:rPr>
  </w:style>
  <w:style w:type="paragraph" w:styleId="CommentText">
    <w:name w:val="annotation text"/>
    <w:basedOn w:val="Normal"/>
    <w:link w:val="CommentTextChar"/>
    <w:rsid w:val="002F0AB8"/>
    <w:rPr>
      <w:szCs w:val="20"/>
    </w:rPr>
  </w:style>
  <w:style w:type="character" w:customStyle="1" w:styleId="CommentTextChar">
    <w:name w:val="Comment Text Char"/>
    <w:link w:val="CommentText"/>
    <w:rsid w:val="002F0AB8"/>
    <w:rPr>
      <w:rFonts w:ascii="Tahoma" w:hAnsi="Tahoma"/>
      <w:lang w:eastAsia="sk-SK"/>
    </w:rPr>
  </w:style>
  <w:style w:type="paragraph" w:styleId="CommentSubject">
    <w:name w:val="annotation subject"/>
    <w:basedOn w:val="CommentText"/>
    <w:next w:val="CommentText"/>
    <w:link w:val="CommentSubjectChar"/>
    <w:rsid w:val="002F0AB8"/>
    <w:rPr>
      <w:b/>
      <w:bCs/>
    </w:rPr>
  </w:style>
  <w:style w:type="character" w:customStyle="1" w:styleId="CommentSubjectChar">
    <w:name w:val="Comment Subject Char"/>
    <w:link w:val="CommentSubject"/>
    <w:rsid w:val="002F0AB8"/>
    <w:rPr>
      <w:rFonts w:ascii="Tahoma" w:hAnsi="Tahoma"/>
      <w:b/>
      <w:bCs/>
      <w:lang w:eastAsia="sk-SK"/>
    </w:rPr>
  </w:style>
  <w:style w:type="table" w:styleId="TableGrid">
    <w:name w:val="Table Grid"/>
    <w:basedOn w:val="TableNormal"/>
    <w:uiPriority w:val="59"/>
    <w:rsid w:val="00AB1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73C87"/>
    <w:pPr>
      <w:keepLines/>
      <w:numPr>
        <w:numId w:val="0"/>
      </w:numPr>
      <w:spacing w:before="480" w:line="276" w:lineRule="auto"/>
      <w:outlineLvl w:val="9"/>
    </w:pPr>
    <w:rPr>
      <w:rFonts w:ascii="Cambria" w:eastAsia="MS Gothic" w:hAnsi="Cambria"/>
      <w:color w:val="365F91"/>
      <w:kern w:val="0"/>
      <w:sz w:val="28"/>
      <w:szCs w:val="28"/>
    </w:rPr>
  </w:style>
  <w:style w:type="character" w:customStyle="1" w:styleId="Heading1Char">
    <w:name w:val="Heading 1 Char"/>
    <w:link w:val="Heading1"/>
    <w:uiPriority w:val="9"/>
    <w:rsid w:val="00006AAF"/>
    <w:rPr>
      <w:rFonts w:ascii="Tahoma" w:hAnsi="Tahoma" w:cs="Arial"/>
      <w:b/>
      <w:bCs/>
      <w:kern w:val="32"/>
      <w:sz w:val="24"/>
      <w:szCs w:val="32"/>
      <w:lang w:val="sk-SK" w:eastAsia="sk-SK"/>
    </w:rPr>
  </w:style>
  <w:style w:type="paragraph" w:customStyle="1" w:styleId="Default">
    <w:name w:val="Default"/>
    <w:rsid w:val="008645C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F3FB9"/>
    <w:pPr>
      <w:ind w:left="720"/>
    </w:pPr>
  </w:style>
  <w:style w:type="paragraph" w:styleId="BodyTextIndent2">
    <w:name w:val="Body Text Indent 2"/>
    <w:basedOn w:val="Normal"/>
    <w:link w:val="BodyTextIndent2Char"/>
    <w:rsid w:val="00E016F1"/>
    <w:pPr>
      <w:spacing w:after="120" w:line="480" w:lineRule="auto"/>
      <w:ind w:left="283"/>
    </w:pPr>
  </w:style>
  <w:style w:type="character" w:customStyle="1" w:styleId="BodyTextIndent2Char">
    <w:name w:val="Body Text Indent 2 Char"/>
    <w:link w:val="BodyTextIndent2"/>
    <w:rsid w:val="00E016F1"/>
    <w:rPr>
      <w:rFonts w:ascii="Tahoma" w:hAnsi="Tahoma"/>
      <w:szCs w:val="24"/>
      <w:lang w:eastAsia="sk-SK"/>
    </w:rPr>
  </w:style>
  <w:style w:type="paragraph" w:styleId="BodyText3">
    <w:name w:val="Body Text 3"/>
    <w:basedOn w:val="Normal"/>
    <w:link w:val="BodyText3Char"/>
    <w:rsid w:val="005C03F3"/>
    <w:pPr>
      <w:spacing w:after="120"/>
    </w:pPr>
    <w:rPr>
      <w:sz w:val="16"/>
      <w:szCs w:val="16"/>
    </w:rPr>
  </w:style>
  <w:style w:type="character" w:customStyle="1" w:styleId="BodyText3Char">
    <w:name w:val="Body Text 3 Char"/>
    <w:link w:val="BodyText3"/>
    <w:rsid w:val="005C03F3"/>
    <w:rPr>
      <w:rFonts w:ascii="Tahoma" w:hAnsi="Tahoma"/>
      <w:sz w:val="16"/>
      <w:szCs w:val="16"/>
      <w:lang w:eastAsia="sk-SK"/>
    </w:rPr>
  </w:style>
  <w:style w:type="paragraph" w:styleId="Title">
    <w:name w:val="Title"/>
    <w:basedOn w:val="Normal"/>
    <w:link w:val="TitleChar"/>
    <w:qFormat/>
    <w:rsid w:val="005C03F3"/>
    <w:pPr>
      <w:jc w:val="center"/>
    </w:pPr>
    <w:rPr>
      <w:rFonts w:ascii="Antique Olive" w:hAnsi="Antique Olive"/>
      <w:b/>
      <w:bCs/>
      <w:sz w:val="28"/>
      <w:szCs w:val="28"/>
      <w:u w:val="single"/>
    </w:rPr>
  </w:style>
  <w:style w:type="character" w:customStyle="1" w:styleId="TitleChar">
    <w:name w:val="Title Char"/>
    <w:link w:val="Title"/>
    <w:rsid w:val="005C03F3"/>
    <w:rPr>
      <w:rFonts w:ascii="Antique Olive" w:hAnsi="Antique Olive"/>
      <w:b/>
      <w:bCs/>
      <w:sz w:val="28"/>
      <w:szCs w:val="28"/>
      <w:u w:val="single"/>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10348">
      <w:bodyDiv w:val="1"/>
      <w:marLeft w:val="0"/>
      <w:marRight w:val="0"/>
      <w:marTop w:val="0"/>
      <w:marBottom w:val="0"/>
      <w:divBdr>
        <w:top w:val="none" w:sz="0" w:space="0" w:color="auto"/>
        <w:left w:val="none" w:sz="0" w:space="0" w:color="auto"/>
        <w:bottom w:val="none" w:sz="0" w:space="0" w:color="auto"/>
        <w:right w:val="none" w:sz="0" w:space="0" w:color="auto"/>
      </w:divBdr>
    </w:div>
    <w:div w:id="404449830">
      <w:bodyDiv w:val="1"/>
      <w:marLeft w:val="0"/>
      <w:marRight w:val="0"/>
      <w:marTop w:val="0"/>
      <w:marBottom w:val="0"/>
      <w:divBdr>
        <w:top w:val="none" w:sz="0" w:space="0" w:color="auto"/>
        <w:left w:val="none" w:sz="0" w:space="0" w:color="auto"/>
        <w:bottom w:val="none" w:sz="0" w:space="0" w:color="auto"/>
        <w:right w:val="none" w:sz="0" w:space="0" w:color="auto"/>
      </w:divBdr>
    </w:div>
    <w:div w:id="447243958">
      <w:bodyDiv w:val="1"/>
      <w:marLeft w:val="0"/>
      <w:marRight w:val="0"/>
      <w:marTop w:val="0"/>
      <w:marBottom w:val="0"/>
      <w:divBdr>
        <w:top w:val="none" w:sz="0" w:space="0" w:color="auto"/>
        <w:left w:val="none" w:sz="0" w:space="0" w:color="auto"/>
        <w:bottom w:val="none" w:sz="0" w:space="0" w:color="auto"/>
        <w:right w:val="none" w:sz="0" w:space="0" w:color="auto"/>
      </w:divBdr>
    </w:div>
    <w:div w:id="670255942">
      <w:bodyDiv w:val="1"/>
      <w:marLeft w:val="0"/>
      <w:marRight w:val="0"/>
      <w:marTop w:val="0"/>
      <w:marBottom w:val="0"/>
      <w:divBdr>
        <w:top w:val="none" w:sz="0" w:space="0" w:color="auto"/>
        <w:left w:val="none" w:sz="0" w:space="0" w:color="auto"/>
        <w:bottom w:val="none" w:sz="0" w:space="0" w:color="auto"/>
        <w:right w:val="none" w:sz="0" w:space="0" w:color="auto"/>
      </w:divBdr>
    </w:div>
    <w:div w:id="742525200">
      <w:bodyDiv w:val="1"/>
      <w:marLeft w:val="0"/>
      <w:marRight w:val="0"/>
      <w:marTop w:val="0"/>
      <w:marBottom w:val="0"/>
      <w:divBdr>
        <w:top w:val="none" w:sz="0" w:space="0" w:color="auto"/>
        <w:left w:val="none" w:sz="0" w:space="0" w:color="auto"/>
        <w:bottom w:val="none" w:sz="0" w:space="0" w:color="auto"/>
        <w:right w:val="none" w:sz="0" w:space="0" w:color="auto"/>
      </w:divBdr>
    </w:div>
    <w:div w:id="847334049">
      <w:bodyDiv w:val="1"/>
      <w:marLeft w:val="0"/>
      <w:marRight w:val="0"/>
      <w:marTop w:val="0"/>
      <w:marBottom w:val="0"/>
      <w:divBdr>
        <w:top w:val="none" w:sz="0" w:space="0" w:color="auto"/>
        <w:left w:val="none" w:sz="0" w:space="0" w:color="auto"/>
        <w:bottom w:val="none" w:sz="0" w:space="0" w:color="auto"/>
        <w:right w:val="none" w:sz="0" w:space="0" w:color="auto"/>
      </w:divBdr>
    </w:div>
    <w:div w:id="1036663590">
      <w:bodyDiv w:val="1"/>
      <w:marLeft w:val="0"/>
      <w:marRight w:val="0"/>
      <w:marTop w:val="0"/>
      <w:marBottom w:val="0"/>
      <w:divBdr>
        <w:top w:val="none" w:sz="0" w:space="0" w:color="auto"/>
        <w:left w:val="none" w:sz="0" w:space="0" w:color="auto"/>
        <w:bottom w:val="none" w:sz="0" w:space="0" w:color="auto"/>
        <w:right w:val="none" w:sz="0" w:space="0" w:color="auto"/>
      </w:divBdr>
      <w:divsChild>
        <w:div w:id="390081541">
          <w:marLeft w:val="0"/>
          <w:marRight w:val="0"/>
          <w:marTop w:val="0"/>
          <w:marBottom w:val="0"/>
          <w:divBdr>
            <w:top w:val="none" w:sz="0" w:space="0" w:color="auto"/>
            <w:left w:val="none" w:sz="0" w:space="0" w:color="auto"/>
            <w:bottom w:val="none" w:sz="0" w:space="0" w:color="auto"/>
            <w:right w:val="none" w:sz="0" w:space="0" w:color="auto"/>
          </w:divBdr>
        </w:div>
        <w:div w:id="530193164">
          <w:marLeft w:val="0"/>
          <w:marRight w:val="0"/>
          <w:marTop w:val="0"/>
          <w:marBottom w:val="0"/>
          <w:divBdr>
            <w:top w:val="none" w:sz="0" w:space="0" w:color="auto"/>
            <w:left w:val="none" w:sz="0" w:space="0" w:color="auto"/>
            <w:bottom w:val="none" w:sz="0" w:space="0" w:color="auto"/>
            <w:right w:val="none" w:sz="0" w:space="0" w:color="auto"/>
          </w:divBdr>
        </w:div>
        <w:div w:id="1130592365">
          <w:marLeft w:val="0"/>
          <w:marRight w:val="0"/>
          <w:marTop w:val="0"/>
          <w:marBottom w:val="0"/>
          <w:divBdr>
            <w:top w:val="none" w:sz="0" w:space="0" w:color="auto"/>
            <w:left w:val="none" w:sz="0" w:space="0" w:color="auto"/>
            <w:bottom w:val="none" w:sz="0" w:space="0" w:color="auto"/>
            <w:right w:val="none" w:sz="0" w:space="0" w:color="auto"/>
          </w:divBdr>
        </w:div>
      </w:divsChild>
    </w:div>
    <w:div w:id="1117067527">
      <w:bodyDiv w:val="1"/>
      <w:marLeft w:val="0"/>
      <w:marRight w:val="0"/>
      <w:marTop w:val="0"/>
      <w:marBottom w:val="0"/>
      <w:divBdr>
        <w:top w:val="none" w:sz="0" w:space="0" w:color="auto"/>
        <w:left w:val="none" w:sz="0" w:space="0" w:color="auto"/>
        <w:bottom w:val="none" w:sz="0" w:space="0" w:color="auto"/>
        <w:right w:val="none" w:sz="0" w:space="0" w:color="auto"/>
      </w:divBdr>
    </w:div>
    <w:div w:id="1137526198">
      <w:bodyDiv w:val="1"/>
      <w:marLeft w:val="0"/>
      <w:marRight w:val="0"/>
      <w:marTop w:val="0"/>
      <w:marBottom w:val="0"/>
      <w:divBdr>
        <w:top w:val="none" w:sz="0" w:space="0" w:color="auto"/>
        <w:left w:val="none" w:sz="0" w:space="0" w:color="auto"/>
        <w:bottom w:val="none" w:sz="0" w:space="0" w:color="auto"/>
        <w:right w:val="none" w:sz="0" w:space="0" w:color="auto"/>
      </w:divBdr>
    </w:div>
    <w:div w:id="1325088458">
      <w:bodyDiv w:val="1"/>
      <w:marLeft w:val="0"/>
      <w:marRight w:val="0"/>
      <w:marTop w:val="0"/>
      <w:marBottom w:val="0"/>
      <w:divBdr>
        <w:top w:val="none" w:sz="0" w:space="0" w:color="auto"/>
        <w:left w:val="none" w:sz="0" w:space="0" w:color="auto"/>
        <w:bottom w:val="none" w:sz="0" w:space="0" w:color="auto"/>
        <w:right w:val="none" w:sz="0" w:space="0" w:color="auto"/>
      </w:divBdr>
    </w:div>
    <w:div w:id="1459303521">
      <w:bodyDiv w:val="1"/>
      <w:marLeft w:val="0"/>
      <w:marRight w:val="0"/>
      <w:marTop w:val="0"/>
      <w:marBottom w:val="0"/>
      <w:divBdr>
        <w:top w:val="none" w:sz="0" w:space="0" w:color="auto"/>
        <w:left w:val="none" w:sz="0" w:space="0" w:color="auto"/>
        <w:bottom w:val="none" w:sz="0" w:space="0" w:color="auto"/>
        <w:right w:val="none" w:sz="0" w:space="0" w:color="auto"/>
      </w:divBdr>
      <w:divsChild>
        <w:div w:id="1351371196">
          <w:marLeft w:val="0"/>
          <w:marRight w:val="0"/>
          <w:marTop w:val="0"/>
          <w:marBottom w:val="0"/>
          <w:divBdr>
            <w:top w:val="none" w:sz="0" w:space="0" w:color="auto"/>
            <w:left w:val="none" w:sz="0" w:space="0" w:color="auto"/>
            <w:bottom w:val="none" w:sz="0" w:space="0" w:color="auto"/>
            <w:right w:val="none" w:sz="0" w:space="0" w:color="auto"/>
          </w:divBdr>
        </w:div>
        <w:div w:id="1385178050">
          <w:marLeft w:val="0"/>
          <w:marRight w:val="0"/>
          <w:marTop w:val="0"/>
          <w:marBottom w:val="0"/>
          <w:divBdr>
            <w:top w:val="none" w:sz="0" w:space="0" w:color="auto"/>
            <w:left w:val="none" w:sz="0" w:space="0" w:color="auto"/>
            <w:bottom w:val="none" w:sz="0" w:space="0" w:color="auto"/>
            <w:right w:val="none" w:sz="0" w:space="0" w:color="auto"/>
          </w:divBdr>
        </w:div>
        <w:div w:id="1950434771">
          <w:marLeft w:val="0"/>
          <w:marRight w:val="0"/>
          <w:marTop w:val="0"/>
          <w:marBottom w:val="0"/>
          <w:divBdr>
            <w:top w:val="none" w:sz="0" w:space="0" w:color="auto"/>
            <w:left w:val="none" w:sz="0" w:space="0" w:color="auto"/>
            <w:bottom w:val="none" w:sz="0" w:space="0" w:color="auto"/>
            <w:right w:val="none" w:sz="0" w:space="0" w:color="auto"/>
          </w:divBdr>
        </w:div>
      </w:divsChild>
    </w:div>
    <w:div w:id="1589384768">
      <w:bodyDiv w:val="1"/>
      <w:marLeft w:val="0"/>
      <w:marRight w:val="0"/>
      <w:marTop w:val="0"/>
      <w:marBottom w:val="0"/>
      <w:divBdr>
        <w:top w:val="none" w:sz="0" w:space="0" w:color="auto"/>
        <w:left w:val="none" w:sz="0" w:space="0" w:color="auto"/>
        <w:bottom w:val="none" w:sz="0" w:space="0" w:color="auto"/>
        <w:right w:val="none" w:sz="0" w:space="0" w:color="auto"/>
      </w:divBdr>
    </w:div>
    <w:div w:id="1634485684">
      <w:bodyDiv w:val="1"/>
      <w:marLeft w:val="0"/>
      <w:marRight w:val="0"/>
      <w:marTop w:val="0"/>
      <w:marBottom w:val="0"/>
      <w:divBdr>
        <w:top w:val="none" w:sz="0" w:space="0" w:color="auto"/>
        <w:left w:val="none" w:sz="0" w:space="0" w:color="auto"/>
        <w:bottom w:val="none" w:sz="0" w:space="0" w:color="auto"/>
        <w:right w:val="none" w:sz="0" w:space="0" w:color="auto"/>
      </w:divBdr>
    </w:div>
    <w:div w:id="1751847561">
      <w:bodyDiv w:val="1"/>
      <w:marLeft w:val="0"/>
      <w:marRight w:val="0"/>
      <w:marTop w:val="0"/>
      <w:marBottom w:val="0"/>
      <w:divBdr>
        <w:top w:val="none" w:sz="0" w:space="0" w:color="auto"/>
        <w:left w:val="none" w:sz="0" w:space="0" w:color="auto"/>
        <w:bottom w:val="none" w:sz="0" w:space="0" w:color="auto"/>
        <w:right w:val="none" w:sz="0" w:space="0" w:color="auto"/>
      </w:divBdr>
    </w:div>
    <w:div w:id="1812164792">
      <w:bodyDiv w:val="1"/>
      <w:marLeft w:val="0"/>
      <w:marRight w:val="0"/>
      <w:marTop w:val="0"/>
      <w:marBottom w:val="0"/>
      <w:divBdr>
        <w:top w:val="none" w:sz="0" w:space="0" w:color="auto"/>
        <w:left w:val="none" w:sz="0" w:space="0" w:color="auto"/>
        <w:bottom w:val="none" w:sz="0" w:space="0" w:color="auto"/>
        <w:right w:val="none" w:sz="0" w:space="0" w:color="auto"/>
      </w:divBdr>
    </w:div>
    <w:div w:id="1888950696">
      <w:bodyDiv w:val="1"/>
      <w:marLeft w:val="0"/>
      <w:marRight w:val="0"/>
      <w:marTop w:val="0"/>
      <w:marBottom w:val="0"/>
      <w:divBdr>
        <w:top w:val="none" w:sz="0" w:space="0" w:color="auto"/>
        <w:left w:val="none" w:sz="0" w:space="0" w:color="auto"/>
        <w:bottom w:val="none" w:sz="0" w:space="0" w:color="auto"/>
        <w:right w:val="none" w:sz="0" w:space="0" w:color="auto"/>
      </w:divBdr>
    </w:div>
    <w:div w:id="2061711366">
      <w:bodyDiv w:val="1"/>
      <w:marLeft w:val="75"/>
      <w:marRight w:val="0"/>
      <w:marTop w:val="0"/>
      <w:marBottom w:val="0"/>
      <w:divBdr>
        <w:top w:val="none" w:sz="0" w:space="0" w:color="auto"/>
        <w:left w:val="none" w:sz="0" w:space="0" w:color="auto"/>
        <w:bottom w:val="none" w:sz="0" w:space="0" w:color="auto"/>
        <w:right w:val="none" w:sz="0" w:space="0" w:color="auto"/>
      </w:divBdr>
      <w:divsChild>
        <w:div w:id="479882384">
          <w:marLeft w:val="0"/>
          <w:marRight w:val="0"/>
          <w:marTop w:val="0"/>
          <w:marBottom w:val="0"/>
          <w:divBdr>
            <w:top w:val="none" w:sz="0" w:space="0" w:color="auto"/>
            <w:left w:val="none" w:sz="0" w:space="0" w:color="auto"/>
            <w:bottom w:val="none" w:sz="0" w:space="0" w:color="auto"/>
            <w:right w:val="none" w:sz="0" w:space="0" w:color="auto"/>
          </w:divBdr>
        </w:div>
        <w:div w:id="784815775">
          <w:marLeft w:val="0"/>
          <w:marRight w:val="0"/>
          <w:marTop w:val="0"/>
          <w:marBottom w:val="0"/>
          <w:divBdr>
            <w:top w:val="none" w:sz="0" w:space="0" w:color="auto"/>
            <w:left w:val="none" w:sz="0" w:space="0" w:color="auto"/>
            <w:bottom w:val="none" w:sz="0" w:space="0" w:color="auto"/>
            <w:right w:val="none" w:sz="0" w:space="0" w:color="auto"/>
          </w:divBdr>
        </w:div>
        <w:div w:id="1080326056">
          <w:marLeft w:val="0"/>
          <w:marRight w:val="0"/>
          <w:marTop w:val="0"/>
          <w:marBottom w:val="0"/>
          <w:divBdr>
            <w:top w:val="none" w:sz="0" w:space="0" w:color="auto"/>
            <w:left w:val="none" w:sz="0" w:space="0" w:color="auto"/>
            <w:bottom w:val="none" w:sz="0" w:space="0" w:color="auto"/>
            <w:right w:val="none" w:sz="0" w:space="0" w:color="auto"/>
          </w:divBdr>
        </w:div>
        <w:div w:id="1837723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bb@ebb-eu.org" TargetMode="External"/><Relationship Id="rId18" Type="http://schemas.openxmlformats.org/officeDocument/2006/relationships/hyperlink" Target="http://www.hse.gov.uk/foi/internalops/hid_circs/enforcement/spc_enf_137/index.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bb-eu.org/" TargetMode="Externa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fisc.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diol.e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info@efisc.eu" TargetMode="External"/><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hyperlink" Target="http://www.starch.e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file:///C:\Documents%20and%20Settings\PB\Local%20Settings\Temp\www.ebb-eu.org" TargetMode="External"/><Relationship Id="rId22" Type="http://schemas.openxmlformats.org/officeDocument/2006/relationships/hyperlink" Target="http://www.icrt-idtf.com/en/index.ph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fisc.eu/data/14168338154.%20Sector%20ref%20doc%20on%20oilseed%20crushing%20and%20veg%20oil%20refining%20version%203.1.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b\AppData\Roaming\Microsoft\Templates\LET%20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EC4FB-985A-4CC0-9CED-C6388F79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 EN.dot</Template>
  <TotalTime>45</TotalTime>
  <Pages>26</Pages>
  <Words>4378</Words>
  <Characters>30170</Characters>
  <Application>Microsoft Office Word</Application>
  <DocSecurity>0</DocSecurity>
  <Lines>1774</Lines>
  <Paragraphs>719</Paragraphs>
  <ScaleCrop>false</ScaleCrop>
  <HeadingPairs>
    <vt:vector size="2" baseType="variant">
      <vt:variant>
        <vt:lpstr>Title</vt:lpstr>
      </vt:variant>
      <vt:variant>
        <vt:i4>1</vt:i4>
      </vt:variant>
    </vt:vector>
  </HeadingPairs>
  <TitlesOfParts>
    <vt:vector size="1" baseType="lpstr">
      <vt:lpstr>EBB</vt:lpstr>
    </vt:vector>
  </TitlesOfParts>
  <Company>Microsoft</Company>
  <LinksUpToDate>false</LinksUpToDate>
  <CharactersWithSpaces>33829</CharactersWithSpaces>
  <SharedDoc>false</SharedDoc>
  <HLinks>
    <vt:vector size="186" baseType="variant">
      <vt:variant>
        <vt:i4>1441887</vt:i4>
      </vt:variant>
      <vt:variant>
        <vt:i4>141</vt:i4>
      </vt:variant>
      <vt:variant>
        <vt:i4>0</vt:i4>
      </vt:variant>
      <vt:variant>
        <vt:i4>5</vt:i4>
      </vt:variant>
      <vt:variant>
        <vt:lpwstr>http://www.icrt-idtf.com/en/index.php</vt:lpwstr>
      </vt:variant>
      <vt:variant>
        <vt:lpwstr/>
      </vt:variant>
      <vt:variant>
        <vt:i4>1441887</vt:i4>
      </vt:variant>
      <vt:variant>
        <vt:i4>138</vt:i4>
      </vt:variant>
      <vt:variant>
        <vt:i4>0</vt:i4>
      </vt:variant>
      <vt:variant>
        <vt:i4>5</vt:i4>
      </vt:variant>
      <vt:variant>
        <vt:lpwstr>http://www.icrt-idtf.com/en/index.php</vt:lpwstr>
      </vt:variant>
      <vt:variant>
        <vt:lpwstr/>
      </vt:variant>
      <vt:variant>
        <vt:i4>8126543</vt:i4>
      </vt:variant>
      <vt:variant>
        <vt:i4>135</vt:i4>
      </vt:variant>
      <vt:variant>
        <vt:i4>0</vt:i4>
      </vt:variant>
      <vt:variant>
        <vt:i4>5</vt:i4>
      </vt:variant>
      <vt:variant>
        <vt:lpwstr>http://www.hse.gov.uk/foi/internalops/hid_circs/enforcement/spc_enf_137/index.htm</vt:lpwstr>
      </vt:variant>
      <vt:variant>
        <vt:lpwstr>appendix1</vt:lpwstr>
      </vt:variant>
      <vt:variant>
        <vt:i4>1310773</vt:i4>
      </vt:variant>
      <vt:variant>
        <vt:i4>128</vt:i4>
      </vt:variant>
      <vt:variant>
        <vt:i4>0</vt:i4>
      </vt:variant>
      <vt:variant>
        <vt:i4>5</vt:i4>
      </vt:variant>
      <vt:variant>
        <vt:lpwstr/>
      </vt:variant>
      <vt:variant>
        <vt:lpwstr>_Toc350504677</vt:lpwstr>
      </vt:variant>
      <vt:variant>
        <vt:i4>1376309</vt:i4>
      </vt:variant>
      <vt:variant>
        <vt:i4>122</vt:i4>
      </vt:variant>
      <vt:variant>
        <vt:i4>0</vt:i4>
      </vt:variant>
      <vt:variant>
        <vt:i4>5</vt:i4>
      </vt:variant>
      <vt:variant>
        <vt:lpwstr/>
      </vt:variant>
      <vt:variant>
        <vt:lpwstr>_Toc350504668</vt:lpwstr>
      </vt:variant>
      <vt:variant>
        <vt:i4>1376309</vt:i4>
      </vt:variant>
      <vt:variant>
        <vt:i4>116</vt:i4>
      </vt:variant>
      <vt:variant>
        <vt:i4>0</vt:i4>
      </vt:variant>
      <vt:variant>
        <vt:i4>5</vt:i4>
      </vt:variant>
      <vt:variant>
        <vt:lpwstr/>
      </vt:variant>
      <vt:variant>
        <vt:lpwstr>_Toc350504667</vt:lpwstr>
      </vt:variant>
      <vt:variant>
        <vt:i4>1376309</vt:i4>
      </vt:variant>
      <vt:variant>
        <vt:i4>110</vt:i4>
      </vt:variant>
      <vt:variant>
        <vt:i4>0</vt:i4>
      </vt:variant>
      <vt:variant>
        <vt:i4>5</vt:i4>
      </vt:variant>
      <vt:variant>
        <vt:lpwstr/>
      </vt:variant>
      <vt:variant>
        <vt:lpwstr>_Toc350504666</vt:lpwstr>
      </vt:variant>
      <vt:variant>
        <vt:i4>1376309</vt:i4>
      </vt:variant>
      <vt:variant>
        <vt:i4>104</vt:i4>
      </vt:variant>
      <vt:variant>
        <vt:i4>0</vt:i4>
      </vt:variant>
      <vt:variant>
        <vt:i4>5</vt:i4>
      </vt:variant>
      <vt:variant>
        <vt:lpwstr/>
      </vt:variant>
      <vt:variant>
        <vt:lpwstr>_Toc350504665</vt:lpwstr>
      </vt:variant>
      <vt:variant>
        <vt:i4>1376309</vt:i4>
      </vt:variant>
      <vt:variant>
        <vt:i4>98</vt:i4>
      </vt:variant>
      <vt:variant>
        <vt:i4>0</vt:i4>
      </vt:variant>
      <vt:variant>
        <vt:i4>5</vt:i4>
      </vt:variant>
      <vt:variant>
        <vt:lpwstr/>
      </vt:variant>
      <vt:variant>
        <vt:lpwstr>_Toc350504664</vt:lpwstr>
      </vt:variant>
      <vt:variant>
        <vt:i4>1376309</vt:i4>
      </vt:variant>
      <vt:variant>
        <vt:i4>92</vt:i4>
      </vt:variant>
      <vt:variant>
        <vt:i4>0</vt:i4>
      </vt:variant>
      <vt:variant>
        <vt:i4>5</vt:i4>
      </vt:variant>
      <vt:variant>
        <vt:lpwstr/>
      </vt:variant>
      <vt:variant>
        <vt:lpwstr>_Toc350504663</vt:lpwstr>
      </vt:variant>
      <vt:variant>
        <vt:i4>1376309</vt:i4>
      </vt:variant>
      <vt:variant>
        <vt:i4>86</vt:i4>
      </vt:variant>
      <vt:variant>
        <vt:i4>0</vt:i4>
      </vt:variant>
      <vt:variant>
        <vt:i4>5</vt:i4>
      </vt:variant>
      <vt:variant>
        <vt:lpwstr/>
      </vt:variant>
      <vt:variant>
        <vt:lpwstr>_Toc350504662</vt:lpwstr>
      </vt:variant>
      <vt:variant>
        <vt:i4>1376309</vt:i4>
      </vt:variant>
      <vt:variant>
        <vt:i4>80</vt:i4>
      </vt:variant>
      <vt:variant>
        <vt:i4>0</vt:i4>
      </vt:variant>
      <vt:variant>
        <vt:i4>5</vt:i4>
      </vt:variant>
      <vt:variant>
        <vt:lpwstr/>
      </vt:variant>
      <vt:variant>
        <vt:lpwstr>_Toc350504661</vt:lpwstr>
      </vt:variant>
      <vt:variant>
        <vt:i4>1376309</vt:i4>
      </vt:variant>
      <vt:variant>
        <vt:i4>74</vt:i4>
      </vt:variant>
      <vt:variant>
        <vt:i4>0</vt:i4>
      </vt:variant>
      <vt:variant>
        <vt:i4>5</vt:i4>
      </vt:variant>
      <vt:variant>
        <vt:lpwstr/>
      </vt:variant>
      <vt:variant>
        <vt:lpwstr>_Toc350504660</vt:lpwstr>
      </vt:variant>
      <vt:variant>
        <vt:i4>1441845</vt:i4>
      </vt:variant>
      <vt:variant>
        <vt:i4>68</vt:i4>
      </vt:variant>
      <vt:variant>
        <vt:i4>0</vt:i4>
      </vt:variant>
      <vt:variant>
        <vt:i4>5</vt:i4>
      </vt:variant>
      <vt:variant>
        <vt:lpwstr/>
      </vt:variant>
      <vt:variant>
        <vt:lpwstr>_Toc350504659</vt:lpwstr>
      </vt:variant>
      <vt:variant>
        <vt:i4>1441845</vt:i4>
      </vt:variant>
      <vt:variant>
        <vt:i4>62</vt:i4>
      </vt:variant>
      <vt:variant>
        <vt:i4>0</vt:i4>
      </vt:variant>
      <vt:variant>
        <vt:i4>5</vt:i4>
      </vt:variant>
      <vt:variant>
        <vt:lpwstr/>
      </vt:variant>
      <vt:variant>
        <vt:lpwstr>_Toc350504658</vt:lpwstr>
      </vt:variant>
      <vt:variant>
        <vt:i4>1441845</vt:i4>
      </vt:variant>
      <vt:variant>
        <vt:i4>56</vt:i4>
      </vt:variant>
      <vt:variant>
        <vt:i4>0</vt:i4>
      </vt:variant>
      <vt:variant>
        <vt:i4>5</vt:i4>
      </vt:variant>
      <vt:variant>
        <vt:lpwstr/>
      </vt:variant>
      <vt:variant>
        <vt:lpwstr>_Toc350504657</vt:lpwstr>
      </vt:variant>
      <vt:variant>
        <vt:i4>1441845</vt:i4>
      </vt:variant>
      <vt:variant>
        <vt:i4>50</vt:i4>
      </vt:variant>
      <vt:variant>
        <vt:i4>0</vt:i4>
      </vt:variant>
      <vt:variant>
        <vt:i4>5</vt:i4>
      </vt:variant>
      <vt:variant>
        <vt:lpwstr/>
      </vt:variant>
      <vt:variant>
        <vt:lpwstr>_Toc350504656</vt:lpwstr>
      </vt:variant>
      <vt:variant>
        <vt:i4>1441845</vt:i4>
      </vt:variant>
      <vt:variant>
        <vt:i4>44</vt:i4>
      </vt:variant>
      <vt:variant>
        <vt:i4>0</vt:i4>
      </vt:variant>
      <vt:variant>
        <vt:i4>5</vt:i4>
      </vt:variant>
      <vt:variant>
        <vt:lpwstr/>
      </vt:variant>
      <vt:variant>
        <vt:lpwstr>_Toc350504655</vt:lpwstr>
      </vt:variant>
      <vt:variant>
        <vt:i4>1441845</vt:i4>
      </vt:variant>
      <vt:variant>
        <vt:i4>38</vt:i4>
      </vt:variant>
      <vt:variant>
        <vt:i4>0</vt:i4>
      </vt:variant>
      <vt:variant>
        <vt:i4>5</vt:i4>
      </vt:variant>
      <vt:variant>
        <vt:lpwstr/>
      </vt:variant>
      <vt:variant>
        <vt:lpwstr>_Toc350504654</vt:lpwstr>
      </vt:variant>
      <vt:variant>
        <vt:i4>1441845</vt:i4>
      </vt:variant>
      <vt:variant>
        <vt:i4>32</vt:i4>
      </vt:variant>
      <vt:variant>
        <vt:i4>0</vt:i4>
      </vt:variant>
      <vt:variant>
        <vt:i4>5</vt:i4>
      </vt:variant>
      <vt:variant>
        <vt:lpwstr/>
      </vt:variant>
      <vt:variant>
        <vt:lpwstr>_Toc350504653</vt:lpwstr>
      </vt:variant>
      <vt:variant>
        <vt:i4>1441845</vt:i4>
      </vt:variant>
      <vt:variant>
        <vt:i4>26</vt:i4>
      </vt:variant>
      <vt:variant>
        <vt:i4>0</vt:i4>
      </vt:variant>
      <vt:variant>
        <vt:i4>5</vt:i4>
      </vt:variant>
      <vt:variant>
        <vt:lpwstr/>
      </vt:variant>
      <vt:variant>
        <vt:lpwstr>_Toc350504652</vt:lpwstr>
      </vt:variant>
      <vt:variant>
        <vt:i4>917534</vt:i4>
      </vt:variant>
      <vt:variant>
        <vt:i4>21</vt:i4>
      </vt:variant>
      <vt:variant>
        <vt:i4>0</vt:i4>
      </vt:variant>
      <vt:variant>
        <vt:i4>5</vt:i4>
      </vt:variant>
      <vt:variant>
        <vt:lpwstr>http://www.efisc.eu/</vt:lpwstr>
      </vt:variant>
      <vt:variant>
        <vt:lpwstr/>
      </vt:variant>
      <vt:variant>
        <vt:i4>6488129</vt:i4>
      </vt:variant>
      <vt:variant>
        <vt:i4>18</vt:i4>
      </vt:variant>
      <vt:variant>
        <vt:i4>0</vt:i4>
      </vt:variant>
      <vt:variant>
        <vt:i4>5</vt:i4>
      </vt:variant>
      <vt:variant>
        <vt:lpwstr>mailto:info@efisc.eu</vt:lpwstr>
      </vt:variant>
      <vt:variant>
        <vt:lpwstr/>
      </vt:variant>
      <vt:variant>
        <vt:i4>4194329</vt:i4>
      </vt:variant>
      <vt:variant>
        <vt:i4>15</vt:i4>
      </vt:variant>
      <vt:variant>
        <vt:i4>0</vt:i4>
      </vt:variant>
      <vt:variant>
        <vt:i4>5</vt:i4>
      </vt:variant>
      <vt:variant>
        <vt:lpwstr>../Local Settings/Temp/www.ebb-eu.org</vt:lpwstr>
      </vt:variant>
      <vt:variant>
        <vt:lpwstr/>
      </vt:variant>
      <vt:variant>
        <vt:i4>5963837</vt:i4>
      </vt:variant>
      <vt:variant>
        <vt:i4>12</vt:i4>
      </vt:variant>
      <vt:variant>
        <vt:i4>0</vt:i4>
      </vt:variant>
      <vt:variant>
        <vt:i4>5</vt:i4>
      </vt:variant>
      <vt:variant>
        <vt:lpwstr>mailto:ebb@ebb-eu.org</vt:lpwstr>
      </vt:variant>
      <vt:variant>
        <vt:lpwstr/>
      </vt:variant>
      <vt:variant>
        <vt:i4>3801186</vt:i4>
      </vt:variant>
      <vt:variant>
        <vt:i4>6</vt:i4>
      </vt:variant>
      <vt:variant>
        <vt:i4>0</vt:i4>
      </vt:variant>
      <vt:variant>
        <vt:i4>5</vt:i4>
      </vt:variant>
      <vt:variant>
        <vt:lpwstr>http://www.ebb-eu.org/</vt:lpwstr>
      </vt:variant>
      <vt:variant>
        <vt:lpwstr/>
      </vt:variant>
      <vt:variant>
        <vt:i4>1900629</vt:i4>
      </vt:variant>
      <vt:variant>
        <vt:i4>3</vt:i4>
      </vt:variant>
      <vt:variant>
        <vt:i4>0</vt:i4>
      </vt:variant>
      <vt:variant>
        <vt:i4>5</vt:i4>
      </vt:variant>
      <vt:variant>
        <vt:lpwstr>http://www.fediol.eu/</vt:lpwstr>
      </vt:variant>
      <vt:variant>
        <vt:lpwstr/>
      </vt:variant>
      <vt:variant>
        <vt:i4>3801185</vt:i4>
      </vt:variant>
      <vt:variant>
        <vt:i4>0</vt:i4>
      </vt:variant>
      <vt:variant>
        <vt:i4>0</vt:i4>
      </vt:variant>
      <vt:variant>
        <vt:i4>5</vt:i4>
      </vt:variant>
      <vt:variant>
        <vt:lpwstr>http://www.aaf-eu.org/</vt:lpwstr>
      </vt:variant>
      <vt:variant>
        <vt:lpwstr/>
      </vt:variant>
      <vt:variant>
        <vt:i4>393268</vt:i4>
      </vt:variant>
      <vt:variant>
        <vt:i4>0</vt:i4>
      </vt:variant>
      <vt:variant>
        <vt:i4>0</vt:i4>
      </vt:variant>
      <vt:variant>
        <vt:i4>5</vt:i4>
      </vt:variant>
      <vt:variant>
        <vt:lpwstr>http://www.efisc.eu/data/1342020514Sector document oilseed and proteinmeal industry_version-2-2-1_16-02-11 update hyperlinks 9_7.pdf</vt:lpwstr>
      </vt:variant>
      <vt:variant>
        <vt:lpwstr/>
      </vt:variant>
      <vt:variant>
        <vt:i4>7667816</vt:i4>
      </vt:variant>
      <vt:variant>
        <vt:i4>3</vt:i4>
      </vt:variant>
      <vt:variant>
        <vt:i4>0</vt:i4>
      </vt:variant>
      <vt:variant>
        <vt:i4>5</vt:i4>
      </vt:variant>
      <vt:variant>
        <vt:lpwstr/>
      </vt:variant>
      <vt:variant>
        <vt:lpwstr>Content</vt:lpwstr>
      </vt:variant>
      <vt:variant>
        <vt:i4>7667816</vt:i4>
      </vt:variant>
      <vt:variant>
        <vt:i4>0</vt:i4>
      </vt:variant>
      <vt:variant>
        <vt:i4>0</vt:i4>
      </vt:variant>
      <vt:variant>
        <vt:i4>5</vt:i4>
      </vt:variant>
      <vt:variant>
        <vt:lpwstr/>
      </vt:variant>
      <vt:variant>
        <vt:lpwstr>Content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EBB</dc:title>
  <dc:creator>ebb</dc:creator>
  <cp:lastModifiedBy>ZUZIOVA Veronika (DGT)</cp:lastModifiedBy>
  <cp:revision>12</cp:revision>
  <cp:lastPrinted>2014-12-15T16:02:00Z</cp:lastPrinted>
  <dcterms:created xsi:type="dcterms:W3CDTF">2015-12-09T16:05:00Z</dcterms:created>
  <dcterms:modified xsi:type="dcterms:W3CDTF">2015-12-18T16:28:00Z</dcterms:modified>
</cp:coreProperties>
</file>