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F3" w:rsidRPr="00360F70" w:rsidRDefault="00660F29" w:rsidP="00660F29">
      <w:pPr>
        <w:pStyle w:val="BodyText3"/>
        <w:jc w:val="right"/>
        <w:rPr>
          <w:rFonts w:ascii="Verdana" w:hAnsi="Verdana"/>
          <w:sz w:val="28"/>
          <w:szCs w:val="28"/>
        </w:rPr>
      </w:pPr>
      <w:r w:rsidRPr="00360F70">
        <w:rPr>
          <w:noProof/>
          <w:lang w:val="en-GB" w:eastAsia="en-GB" w:bidi="ar-SA"/>
        </w:rPr>
        <w:drawing>
          <wp:inline distT="0" distB="0" distL="0" distR="0" wp14:anchorId="7567B1DE" wp14:editId="261F7B13">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5C03F3" w:rsidRPr="00360F70" w:rsidRDefault="005C03F3" w:rsidP="005C03F3">
      <w:pPr>
        <w:pStyle w:val="BodyText3"/>
        <w:jc w:val="both"/>
        <w:rPr>
          <w:rFonts w:ascii="Verdana" w:hAnsi="Verdana"/>
          <w:sz w:val="28"/>
          <w:szCs w:val="28"/>
        </w:rPr>
      </w:pPr>
    </w:p>
    <w:p w:rsidR="005C03F3" w:rsidRPr="00360F70" w:rsidRDefault="005C03F3" w:rsidP="005C03F3">
      <w:pPr>
        <w:pStyle w:val="BodyText3"/>
        <w:jc w:val="both"/>
        <w:rPr>
          <w:rFonts w:ascii="Verdana" w:hAnsi="Verdana"/>
          <w:sz w:val="28"/>
          <w:szCs w:val="28"/>
        </w:rPr>
      </w:pPr>
    </w:p>
    <w:p w:rsidR="005C03F3" w:rsidRPr="00360F70" w:rsidRDefault="005C03F3" w:rsidP="005C03F3">
      <w:pPr>
        <w:pStyle w:val="BodyText3"/>
        <w:jc w:val="both"/>
        <w:rPr>
          <w:rFonts w:ascii="Verdana" w:hAnsi="Verdana"/>
          <w:sz w:val="28"/>
          <w:szCs w:val="28"/>
        </w:rPr>
      </w:pPr>
    </w:p>
    <w:p w:rsidR="005C03F3" w:rsidRPr="00360F70" w:rsidRDefault="005C03F3" w:rsidP="005C03F3">
      <w:pPr>
        <w:pStyle w:val="BodyText3"/>
        <w:jc w:val="both"/>
        <w:rPr>
          <w:rFonts w:ascii="Verdana" w:hAnsi="Verdana"/>
          <w:sz w:val="28"/>
          <w:szCs w:val="28"/>
        </w:rPr>
      </w:pPr>
    </w:p>
    <w:p w:rsidR="00120270" w:rsidRPr="00360F70" w:rsidRDefault="00120270" w:rsidP="00660F29">
      <w:pPr>
        <w:pStyle w:val="BodyText3"/>
        <w:rPr>
          <w:rFonts w:ascii="Verdana" w:hAnsi="Verdana"/>
          <w:color w:val="1F497D"/>
          <w:sz w:val="28"/>
          <w:szCs w:val="28"/>
        </w:rPr>
      </w:pPr>
      <w:r w:rsidRPr="00360F70">
        <w:rPr>
          <w:rFonts w:ascii="Verdana" w:hAnsi="Verdana"/>
          <w:color w:val="1F497D"/>
          <w:sz w:val="28"/>
        </w:rPr>
        <w:t>Europeiska riktlinjer för god praxis vid industriell framställning av säkra foderråvaror</w:t>
      </w:r>
    </w:p>
    <w:p w:rsidR="00120270" w:rsidRPr="00360F70" w:rsidRDefault="00120270" w:rsidP="00660F29">
      <w:pPr>
        <w:rPr>
          <w:rFonts w:ascii="Verdana" w:hAnsi="Verdana" w:cs="Tahoma"/>
          <w:b/>
          <w:color w:val="4F81BD"/>
          <w:sz w:val="48"/>
          <w:szCs w:val="48"/>
        </w:rPr>
      </w:pPr>
      <w:r w:rsidRPr="00360F70">
        <w:rPr>
          <w:rFonts w:ascii="Verdana" w:hAnsi="Verdana"/>
          <w:b/>
          <w:color w:val="4F81BD"/>
          <w:sz w:val="48"/>
        </w:rPr>
        <w:t xml:space="preserve">Branschspecifikt referensdokument om tillverkning av säkra foderråvaror som utvinns från biodieselbearbetning </w:t>
      </w:r>
    </w:p>
    <w:p w:rsidR="00120270" w:rsidRPr="00360F70" w:rsidRDefault="00120270" w:rsidP="00120270">
      <w:pPr>
        <w:jc w:val="both"/>
        <w:rPr>
          <w:rFonts w:ascii="Verdana" w:hAnsi="Verdana"/>
          <w:b/>
          <w:color w:val="1F497D"/>
          <w:sz w:val="28"/>
          <w:szCs w:val="28"/>
        </w:rPr>
      </w:pPr>
    </w:p>
    <w:p w:rsidR="00120270" w:rsidRPr="00360F70" w:rsidRDefault="00120270" w:rsidP="00120270">
      <w:pPr>
        <w:jc w:val="both"/>
        <w:rPr>
          <w:rFonts w:ascii="Verdana" w:hAnsi="Verdana"/>
          <w:b/>
          <w:color w:val="1F497D"/>
          <w:sz w:val="28"/>
          <w:szCs w:val="28"/>
        </w:rPr>
      </w:pPr>
      <w:r w:rsidRPr="00360F70">
        <w:rPr>
          <w:rFonts w:ascii="Verdana" w:hAnsi="Verdana"/>
          <w:b/>
          <w:color w:val="1F497D"/>
          <w:sz w:val="28"/>
        </w:rPr>
        <w:t>Version 1.1</w:t>
      </w:r>
    </w:p>
    <w:p w:rsidR="00120270" w:rsidRPr="00360F70" w:rsidRDefault="00120270" w:rsidP="00120270">
      <w:pPr>
        <w:jc w:val="both"/>
        <w:rPr>
          <w:rFonts w:ascii="Verdana" w:hAnsi="Verdana"/>
          <w:b/>
          <w:color w:val="1F497D"/>
          <w:sz w:val="28"/>
          <w:szCs w:val="28"/>
        </w:rPr>
      </w:pPr>
      <w:r w:rsidRPr="00360F70">
        <w:rPr>
          <w:rFonts w:ascii="Verdana" w:hAnsi="Verdana"/>
          <w:b/>
          <w:color w:val="1F497D"/>
          <w:sz w:val="28"/>
        </w:rPr>
        <w:t>Gäller från och med november 2014</w:t>
      </w:r>
    </w:p>
    <w:p w:rsidR="005C03F3" w:rsidRPr="00360F70" w:rsidRDefault="00660F29" w:rsidP="006558BC">
      <w:pPr>
        <w:rPr>
          <w:rFonts w:ascii="Verdana" w:hAnsi="Verdana"/>
          <w:b/>
          <w:color w:val="808080"/>
          <w:sz w:val="28"/>
          <w:szCs w:val="28"/>
        </w:rPr>
      </w:pPr>
      <w:r w:rsidRPr="00360F70">
        <w:br w:type="page"/>
      </w:r>
      <w:r w:rsidRPr="00360F70">
        <w:rPr>
          <w:rFonts w:ascii="Verdana" w:hAnsi="Verdana"/>
          <w:b/>
          <w:color w:val="808080"/>
          <w:sz w:val="28"/>
        </w:rPr>
        <w:lastRenderedPageBreak/>
        <w:t>Branscher som omfattas av den europeiska guiden</w:t>
      </w:r>
    </w:p>
    <w:p w:rsidR="0015798E" w:rsidRPr="00360F70" w:rsidRDefault="0015798E" w:rsidP="006558BC">
      <w:pPr>
        <w:rPr>
          <w:rFonts w:ascii="Verdana" w:hAnsi="Verdana"/>
          <w:b/>
          <w:color w:val="808080"/>
          <w:sz w:val="28"/>
          <w:szCs w:val="28"/>
        </w:rPr>
      </w:pPr>
    </w:p>
    <w:p w:rsidR="005C03F3" w:rsidRPr="00360F7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360F7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sidRPr="00360F70">
        <w:rPr>
          <w:rFonts w:ascii="Verdana" w:hAnsi="Verdana"/>
        </w:rPr>
        <w:t>Följande branschspecifika referensdokument har utarbetats av de respektive branschorganisationerna i samarbete med EFISC:</w:t>
      </w:r>
    </w:p>
    <w:p w:rsidR="005C03F3" w:rsidRPr="00360F7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360F70" w:rsidRDefault="001026C8"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0">
        <w:r w:rsidR="00672E3C" w:rsidRPr="00360F70">
          <w:rPr>
            <w:rStyle w:val="Hyperlink"/>
            <w:rFonts w:ascii="Verdana" w:hAnsi="Verdana"/>
          </w:rPr>
          <w:t>Starch Europe</w:t>
        </w:r>
      </w:hyperlink>
      <w:r w:rsidR="00672E3C" w:rsidRPr="00360F70">
        <w:tab/>
      </w:r>
      <w:r w:rsidR="00672E3C" w:rsidRPr="00360F70">
        <w:rPr>
          <w:rFonts w:ascii="Verdana" w:hAnsi="Verdana"/>
        </w:rPr>
        <w:t>Branschspecifikt referensdokument om tillverkning av säkra foderråvaror som utvinns från stärkelsebearbetning</w:t>
      </w:r>
    </w:p>
    <w:p w:rsidR="005C03F3" w:rsidRPr="00360F70" w:rsidRDefault="001026C8"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rPr>
      </w:pPr>
      <w:hyperlink r:id="rId11">
        <w:r w:rsidR="00266F5E">
          <w:rPr>
            <w:rStyle w:val="Hyperlink"/>
            <w:rFonts w:ascii="Verdana" w:hAnsi="Verdana"/>
          </w:rPr>
          <w:t>Fediol</w:t>
        </w:r>
      </w:hyperlink>
      <w:r w:rsidR="00672E3C" w:rsidRPr="00360F70">
        <w:rPr>
          <w:rFonts w:ascii="Verdana" w:hAnsi="Verdana"/>
        </w:rPr>
        <w:t xml:space="preserve"> </w:t>
      </w:r>
      <w:r w:rsidR="00672E3C" w:rsidRPr="00360F70">
        <w:tab/>
      </w:r>
      <w:r w:rsidR="00672E3C" w:rsidRPr="00360F70">
        <w:rPr>
          <w:rFonts w:ascii="Verdana" w:hAnsi="Verdana"/>
        </w:rPr>
        <w:t>Branschspecifikt referensdokument om tillverkning av säkra foderråvaror som utvinns från krossning av oljefrön och raffinering av vegetabiliska oljor</w:t>
      </w:r>
    </w:p>
    <w:p w:rsidR="005C03F3" w:rsidRPr="00360F70" w:rsidRDefault="001026C8"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2">
        <w:r w:rsidR="00672E3C" w:rsidRPr="00360F70">
          <w:rPr>
            <w:rStyle w:val="Hyperlink"/>
            <w:rFonts w:ascii="Verdana" w:hAnsi="Verdana"/>
            <w:b/>
          </w:rPr>
          <w:t>EBB</w:t>
        </w:r>
      </w:hyperlink>
      <w:r w:rsidR="00672E3C" w:rsidRPr="00360F70">
        <w:tab/>
      </w:r>
      <w:r w:rsidR="00672E3C" w:rsidRPr="00360F70">
        <w:rPr>
          <w:rFonts w:ascii="Verdana" w:hAnsi="Verdana"/>
          <w:b/>
        </w:rPr>
        <w:t>Branschspecifikt referensdokument om tillverkning av säkra foderråvaror som utvinns från biodieselbearbetning</w:t>
      </w:r>
    </w:p>
    <w:p w:rsidR="005C03F3" w:rsidRPr="00360F7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360F7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sidRPr="00360F70">
        <w:rPr>
          <w:rFonts w:ascii="Verdana" w:hAnsi="Verdana"/>
        </w:rPr>
        <w:t>Övriga tillverkare av foderråvaror som vill ansluta sig till dessa riktlinjer kan göra det genom att utarbeta ett branschspecifikt referensdokument.</w:t>
      </w:r>
    </w:p>
    <w:p w:rsidR="00120270" w:rsidRPr="00360F70" w:rsidRDefault="00120270" w:rsidP="005C03F3">
      <w:pPr>
        <w:rPr>
          <w:rFonts w:ascii="Verdana" w:hAnsi="Verdana"/>
          <w:b/>
          <w:color w:val="808080"/>
          <w:sz w:val="22"/>
          <w:szCs w:val="22"/>
        </w:rPr>
      </w:pPr>
    </w:p>
    <w:p w:rsidR="005C03F3" w:rsidRPr="00360F70" w:rsidRDefault="005C03F3" w:rsidP="005C03F3">
      <w:pPr>
        <w:rPr>
          <w:rFonts w:ascii="Verdana" w:hAnsi="Verdana"/>
          <w:b/>
          <w:color w:val="808080"/>
          <w:sz w:val="22"/>
          <w:szCs w:val="22"/>
        </w:rPr>
      </w:pPr>
      <w:r w:rsidRPr="00360F70">
        <w:rPr>
          <w:rFonts w:ascii="Verdana" w:hAnsi="Verdana"/>
          <w:b/>
          <w:color w:val="808080"/>
          <w:sz w:val="22"/>
        </w:rPr>
        <w:t>Information om EBB</w:t>
      </w:r>
      <w:r w:rsidRPr="00360F70">
        <w:t xml:space="preserve"> </w:t>
      </w:r>
    </w:p>
    <w:p w:rsidR="005C03F3" w:rsidRPr="00360F70" w:rsidRDefault="005C03F3" w:rsidP="005C03F3">
      <w:pPr>
        <w:rPr>
          <w:rFonts w:ascii="Verdana" w:hAnsi="Verdana"/>
          <w:b/>
          <w:color w:val="808080"/>
          <w:sz w:val="22"/>
          <w:szCs w:val="22"/>
        </w:rPr>
      </w:pPr>
    </w:p>
    <w:p w:rsidR="005C03F3" w:rsidRPr="00360F70" w:rsidRDefault="005C03F3" w:rsidP="005C03F3">
      <w:pPr>
        <w:rPr>
          <w:rFonts w:ascii="Verdana" w:hAnsi="Verdana"/>
          <w:sz w:val="22"/>
          <w:szCs w:val="22"/>
        </w:rPr>
      </w:pPr>
      <w:r w:rsidRPr="00360F70">
        <w:rPr>
          <w:rFonts w:ascii="Verdana" w:hAnsi="Verdana"/>
          <w:sz w:val="22"/>
        </w:rPr>
        <w:t>Kontakt:</w:t>
      </w:r>
    </w:p>
    <w:p w:rsidR="005C03F3" w:rsidRPr="00360F70" w:rsidRDefault="005C03F3" w:rsidP="005C03F3">
      <w:pPr>
        <w:rPr>
          <w:rFonts w:ascii="Verdana" w:hAnsi="Verdana"/>
          <w:sz w:val="22"/>
          <w:szCs w:val="22"/>
        </w:rPr>
      </w:pPr>
    </w:p>
    <w:p w:rsidR="005C03F3" w:rsidRPr="00360F70" w:rsidRDefault="005C03F3" w:rsidP="005C03F3">
      <w:pPr>
        <w:rPr>
          <w:rFonts w:ascii="Verdana" w:hAnsi="Verdana"/>
          <w:bCs/>
          <w:color w:val="006633"/>
          <w:sz w:val="22"/>
          <w:szCs w:val="22"/>
        </w:rPr>
      </w:pPr>
      <w:r w:rsidRPr="00360F70">
        <w:rPr>
          <w:rFonts w:ascii="Verdana" w:hAnsi="Verdana"/>
          <w:color w:val="006633"/>
          <w:sz w:val="22"/>
        </w:rPr>
        <w:t>European Biodiesel Board (EBB)</w:t>
      </w:r>
      <w:r w:rsidRPr="00360F70">
        <w:tab/>
      </w:r>
      <w:r w:rsidRPr="00360F70">
        <w:rPr>
          <w:rFonts w:ascii="Verdana" w:hAnsi="Verdana"/>
          <w:b/>
          <w:color w:val="006633"/>
          <w:sz w:val="32"/>
        </w:rPr>
        <w:t>EBB</w:t>
      </w:r>
      <w:r w:rsidRPr="00360F70">
        <w:rPr>
          <w:rFonts w:ascii="Verdana" w:hAnsi="Verdana"/>
          <w:bCs/>
          <w:color w:val="006633"/>
          <w:sz w:val="22"/>
          <w:szCs w:val="22"/>
        </w:rPr>
        <w:br/>
      </w:r>
      <w:r w:rsidRPr="00360F70">
        <w:rPr>
          <w:rFonts w:ascii="Verdana" w:hAnsi="Verdana"/>
          <w:color w:val="006633"/>
          <w:sz w:val="22"/>
        </w:rPr>
        <w:t xml:space="preserve">Boulevard Saint Michel 34 </w:t>
      </w:r>
      <w:r w:rsidRPr="00360F70">
        <w:tab/>
      </w:r>
      <w:r w:rsidRPr="00360F70">
        <w:tab/>
      </w:r>
      <w:r w:rsidRPr="00360F70">
        <w:rPr>
          <w:rFonts w:ascii="Verdana" w:hAnsi="Verdana"/>
          <w:color w:val="006633"/>
          <w:sz w:val="28"/>
        </w:rPr>
        <w:t>European Biodiesel Board</w:t>
      </w:r>
      <w:r w:rsidRPr="00360F70">
        <w:rPr>
          <w:rFonts w:ascii="Verdana" w:hAnsi="Verdana"/>
          <w:bCs/>
          <w:color w:val="006633"/>
          <w:sz w:val="22"/>
          <w:szCs w:val="22"/>
        </w:rPr>
        <w:br/>
      </w:r>
      <w:r w:rsidRPr="00360F70">
        <w:rPr>
          <w:rFonts w:ascii="Verdana" w:hAnsi="Verdana"/>
          <w:color w:val="006633"/>
          <w:sz w:val="22"/>
        </w:rPr>
        <w:t>1040 Bryssel, Belgien</w:t>
      </w:r>
      <w:r w:rsidRPr="00360F70">
        <w:rPr>
          <w:rFonts w:ascii="Verdana" w:hAnsi="Verdana"/>
          <w:bCs/>
          <w:color w:val="006633"/>
          <w:sz w:val="22"/>
          <w:szCs w:val="22"/>
        </w:rPr>
        <w:br/>
      </w:r>
      <w:r w:rsidRPr="00360F70">
        <w:rPr>
          <w:rFonts w:ascii="Verdana" w:hAnsi="Verdana"/>
          <w:color w:val="006633"/>
          <w:sz w:val="22"/>
        </w:rPr>
        <w:t>T</w:t>
      </w:r>
      <w:r w:rsidR="00E9584F">
        <w:rPr>
          <w:rFonts w:ascii="Verdana" w:hAnsi="Verdana"/>
          <w:color w:val="006633"/>
          <w:sz w:val="22"/>
        </w:rPr>
        <w:t>fn</w:t>
      </w:r>
      <w:r w:rsidR="0012359F">
        <w:rPr>
          <w:rFonts w:ascii="Verdana" w:hAnsi="Verdana"/>
          <w:color w:val="006633"/>
          <w:sz w:val="22"/>
        </w:rPr>
        <w:t>: +32</w:t>
      </w:r>
      <w:r w:rsidR="00BD3D0B">
        <w:rPr>
          <w:rFonts w:ascii="Verdana" w:hAnsi="Verdana"/>
          <w:color w:val="006633"/>
          <w:sz w:val="22"/>
        </w:rPr>
        <w:t> </w:t>
      </w:r>
      <w:r w:rsidRPr="00360F70">
        <w:rPr>
          <w:rFonts w:ascii="Verdana" w:hAnsi="Verdana"/>
          <w:color w:val="006633"/>
          <w:sz w:val="22"/>
        </w:rPr>
        <w:t>27632477</w:t>
      </w:r>
      <w:r w:rsidRPr="00360F70">
        <w:rPr>
          <w:rFonts w:ascii="Verdana" w:hAnsi="Verdana"/>
          <w:bCs/>
          <w:color w:val="006633"/>
          <w:sz w:val="22"/>
          <w:szCs w:val="22"/>
        </w:rPr>
        <w:br/>
      </w:r>
      <w:r w:rsidR="0012359F">
        <w:rPr>
          <w:rFonts w:ascii="Verdana" w:hAnsi="Verdana"/>
          <w:color w:val="006633"/>
          <w:sz w:val="22"/>
        </w:rPr>
        <w:t>Fax: +32</w:t>
      </w:r>
      <w:r w:rsidR="00BD3D0B">
        <w:rPr>
          <w:rFonts w:ascii="Verdana" w:hAnsi="Verdana"/>
          <w:color w:val="006633"/>
          <w:sz w:val="22"/>
        </w:rPr>
        <w:t> </w:t>
      </w:r>
      <w:r w:rsidRPr="00360F70">
        <w:rPr>
          <w:rFonts w:ascii="Verdana" w:hAnsi="Verdana"/>
          <w:color w:val="006633"/>
          <w:sz w:val="22"/>
        </w:rPr>
        <w:t>27630457</w:t>
      </w:r>
    </w:p>
    <w:p w:rsidR="005C03F3" w:rsidRPr="00360F70" w:rsidRDefault="005C03F3" w:rsidP="006558BC">
      <w:pPr>
        <w:rPr>
          <w:rFonts w:ascii="Verdana" w:hAnsi="Verdana"/>
          <w:sz w:val="22"/>
          <w:szCs w:val="22"/>
        </w:rPr>
      </w:pPr>
      <w:r w:rsidRPr="00360F70">
        <w:rPr>
          <w:rFonts w:ascii="Verdana" w:hAnsi="Verdana"/>
          <w:sz w:val="22"/>
        </w:rPr>
        <w:t xml:space="preserve">E-post: </w:t>
      </w:r>
      <w:hyperlink r:id="rId13" w:tooltip="ebb@ebb-eu.org">
        <w:r w:rsidRPr="00360F70">
          <w:rPr>
            <w:rStyle w:val="Hyperlink"/>
            <w:rFonts w:ascii="Verdana" w:hAnsi="Verdana"/>
            <w:sz w:val="22"/>
          </w:rPr>
          <w:t>ebb@ebb-eu.org</w:t>
        </w:r>
      </w:hyperlink>
    </w:p>
    <w:p w:rsidR="004D14B9" w:rsidRPr="00360F70" w:rsidRDefault="004D14B9" w:rsidP="006558BC">
      <w:pPr>
        <w:rPr>
          <w:rFonts w:ascii="Verdana" w:hAnsi="Verdana"/>
          <w:sz w:val="22"/>
          <w:szCs w:val="22"/>
        </w:rPr>
      </w:pPr>
      <w:r w:rsidRPr="00360F70">
        <w:rPr>
          <w:rFonts w:ascii="Verdana" w:hAnsi="Verdana"/>
          <w:sz w:val="22"/>
        </w:rPr>
        <w:t xml:space="preserve">Webbplats: </w:t>
      </w:r>
      <w:hyperlink r:id="rId14">
        <w:r w:rsidRPr="00360F70">
          <w:rPr>
            <w:rStyle w:val="Hyperlink"/>
            <w:rFonts w:ascii="Verdana" w:hAnsi="Verdana"/>
            <w:sz w:val="22"/>
          </w:rPr>
          <w:t>www.ebb-eu.org</w:t>
        </w:r>
      </w:hyperlink>
    </w:p>
    <w:p w:rsidR="005C03F3" w:rsidRPr="00360F70" w:rsidRDefault="005C03F3" w:rsidP="005C03F3">
      <w:pPr>
        <w:rPr>
          <w:rFonts w:ascii="Verdana" w:hAnsi="Verdana"/>
          <w:b/>
          <w:color w:val="808080"/>
          <w:sz w:val="22"/>
          <w:szCs w:val="22"/>
        </w:rPr>
      </w:pPr>
    </w:p>
    <w:p w:rsidR="00660F29" w:rsidRPr="00360F70" w:rsidRDefault="005C03F3" w:rsidP="005C03F3">
      <w:pPr>
        <w:rPr>
          <w:rFonts w:ascii="Verdana" w:hAnsi="Verdana"/>
          <w:b/>
          <w:color w:val="808080"/>
          <w:sz w:val="22"/>
          <w:szCs w:val="22"/>
        </w:rPr>
      </w:pPr>
      <w:r w:rsidRPr="00360F70">
        <w:rPr>
          <w:rFonts w:ascii="Verdana" w:hAnsi="Verdana"/>
          <w:b/>
          <w:color w:val="808080"/>
          <w:sz w:val="22"/>
        </w:rPr>
        <w:t>Information om EFISC</w:t>
      </w:r>
    </w:p>
    <w:p w:rsidR="005C03F3" w:rsidRPr="007C4CC4" w:rsidRDefault="00660F29" w:rsidP="00660F29">
      <w:pPr>
        <w:ind w:firstLine="708"/>
        <w:jc w:val="right"/>
        <w:rPr>
          <w:rFonts w:ascii="Verdana" w:hAnsi="Verdana"/>
          <w:b/>
          <w:color w:val="1F497D" w:themeColor="text2"/>
          <w:sz w:val="36"/>
          <w:szCs w:val="36"/>
          <w:lang w:val="en-US"/>
        </w:rPr>
      </w:pPr>
      <w:r w:rsidRPr="007C4CC4">
        <w:rPr>
          <w:rFonts w:ascii="Verdana" w:hAnsi="Verdana"/>
          <w:b/>
          <w:color w:val="1F497D" w:themeColor="text2"/>
          <w:sz w:val="36"/>
          <w:lang w:val="en-US"/>
        </w:rPr>
        <w:t>EFISC</w:t>
      </w:r>
    </w:p>
    <w:p w:rsidR="005C03F3" w:rsidRPr="007C4CC4" w:rsidRDefault="00660F29" w:rsidP="00942E2E">
      <w:pPr>
        <w:jc w:val="right"/>
        <w:rPr>
          <w:rFonts w:ascii="Verdana" w:hAnsi="Verdana"/>
          <w:b/>
          <w:color w:val="1F497D" w:themeColor="text2"/>
          <w:sz w:val="16"/>
          <w:szCs w:val="16"/>
          <w:lang w:val="en-US"/>
        </w:rPr>
      </w:pPr>
      <w:r w:rsidRPr="007C4CC4">
        <w:rPr>
          <w:rFonts w:ascii="Verdana" w:hAnsi="Verdana"/>
          <w:b/>
          <w:color w:val="1F497D" w:themeColor="text2"/>
          <w:sz w:val="16"/>
          <w:lang w:val="en-US"/>
        </w:rPr>
        <w:t>European Feed Ingredients Safety Certification</w:t>
      </w:r>
    </w:p>
    <w:p w:rsidR="005C03F3" w:rsidRPr="007C4CC4" w:rsidRDefault="005C03F3" w:rsidP="005C03F3">
      <w:pPr>
        <w:rPr>
          <w:rFonts w:ascii="Verdana" w:hAnsi="Verdana"/>
          <w:sz w:val="22"/>
          <w:szCs w:val="22"/>
          <w:lang w:val="fr-FR"/>
        </w:rPr>
      </w:pPr>
      <w:proofErr w:type="spellStart"/>
      <w:r w:rsidRPr="007C4CC4">
        <w:rPr>
          <w:rFonts w:ascii="Verdana" w:hAnsi="Verdana"/>
          <w:sz w:val="22"/>
          <w:lang w:val="fr-FR"/>
        </w:rPr>
        <w:t>Kontakt</w:t>
      </w:r>
      <w:proofErr w:type="spellEnd"/>
      <w:r w:rsidRPr="007C4CC4">
        <w:rPr>
          <w:rFonts w:ascii="Verdana" w:hAnsi="Verdana"/>
          <w:sz w:val="22"/>
          <w:lang w:val="fr-FR"/>
        </w:rPr>
        <w:t>:</w:t>
      </w:r>
    </w:p>
    <w:p w:rsidR="005C03F3" w:rsidRPr="007C4CC4" w:rsidRDefault="005C03F3" w:rsidP="005C03F3">
      <w:pPr>
        <w:rPr>
          <w:rFonts w:ascii="Verdana" w:hAnsi="Verdana"/>
          <w:sz w:val="22"/>
          <w:szCs w:val="22"/>
          <w:lang w:val="fr-FR"/>
        </w:rPr>
      </w:pPr>
    </w:p>
    <w:p w:rsidR="005C03F3" w:rsidRPr="007C4CC4" w:rsidRDefault="005C03F3" w:rsidP="005C03F3">
      <w:pPr>
        <w:rPr>
          <w:rFonts w:ascii="Verdana" w:hAnsi="Verdana"/>
          <w:sz w:val="22"/>
          <w:szCs w:val="22"/>
          <w:lang w:val="fr-FR"/>
        </w:rPr>
      </w:pPr>
      <w:r w:rsidRPr="007C4CC4">
        <w:rPr>
          <w:rFonts w:ascii="Verdana" w:hAnsi="Verdana"/>
          <w:sz w:val="22"/>
          <w:lang w:val="fr-FR"/>
        </w:rPr>
        <w:t xml:space="preserve">EFISC </w:t>
      </w:r>
      <w:proofErr w:type="spellStart"/>
      <w:r w:rsidRPr="007C4CC4">
        <w:rPr>
          <w:rFonts w:ascii="Verdana" w:hAnsi="Verdana"/>
          <w:sz w:val="22"/>
          <w:lang w:val="fr-FR"/>
        </w:rPr>
        <w:t>Aisbl</w:t>
      </w:r>
      <w:proofErr w:type="spellEnd"/>
    </w:p>
    <w:p w:rsidR="005C03F3" w:rsidRPr="007C4CC4" w:rsidRDefault="000F0077" w:rsidP="005C03F3">
      <w:pPr>
        <w:rPr>
          <w:rFonts w:ascii="Verdana" w:hAnsi="Verdana"/>
          <w:sz w:val="22"/>
          <w:szCs w:val="22"/>
          <w:lang w:val="fr-FR"/>
        </w:rPr>
      </w:pPr>
      <w:r w:rsidRPr="007C4CC4">
        <w:rPr>
          <w:rFonts w:ascii="Verdana" w:hAnsi="Verdana"/>
          <w:sz w:val="22"/>
          <w:lang w:val="fr-FR"/>
        </w:rPr>
        <w:t>Avenue des Arts 43 c/o Starch Europe</w:t>
      </w:r>
    </w:p>
    <w:p w:rsidR="005C03F3" w:rsidRPr="007C4CC4" w:rsidRDefault="005C03F3" w:rsidP="005C03F3">
      <w:pPr>
        <w:rPr>
          <w:rFonts w:ascii="Verdana" w:hAnsi="Verdana"/>
          <w:sz w:val="22"/>
          <w:szCs w:val="22"/>
          <w:lang w:val="de-DE"/>
        </w:rPr>
      </w:pPr>
      <w:r w:rsidRPr="007C4CC4">
        <w:rPr>
          <w:rFonts w:ascii="Verdana" w:hAnsi="Verdana"/>
          <w:sz w:val="22"/>
          <w:lang w:val="de-DE"/>
        </w:rPr>
        <w:t>B 1040 Bryssel</w:t>
      </w:r>
    </w:p>
    <w:p w:rsidR="005C03F3" w:rsidRPr="007C4CC4" w:rsidRDefault="00BD3D0B" w:rsidP="005C03F3">
      <w:pPr>
        <w:rPr>
          <w:rFonts w:ascii="Verdana" w:hAnsi="Verdana"/>
          <w:sz w:val="22"/>
          <w:szCs w:val="22"/>
          <w:lang w:val="de-DE"/>
        </w:rPr>
      </w:pPr>
      <w:r w:rsidRPr="007C4CC4">
        <w:rPr>
          <w:rFonts w:ascii="Verdana" w:hAnsi="Verdana"/>
          <w:color w:val="000000"/>
          <w:kern w:val="28"/>
          <w:sz w:val="22"/>
          <w:lang w:val="de-DE"/>
        </w:rPr>
        <w:t>Tfn: + 32 </w:t>
      </w:r>
      <w:r w:rsidR="005C03F3" w:rsidRPr="007C4CC4">
        <w:rPr>
          <w:rFonts w:ascii="Verdana" w:hAnsi="Verdana"/>
          <w:color w:val="000000"/>
          <w:kern w:val="28"/>
          <w:sz w:val="22"/>
          <w:lang w:val="de-DE"/>
        </w:rPr>
        <w:t>27715330</w:t>
      </w:r>
    </w:p>
    <w:p w:rsidR="005C03F3" w:rsidRPr="007C4CC4" w:rsidRDefault="00BD3D0B" w:rsidP="005C03F3">
      <w:pPr>
        <w:rPr>
          <w:rFonts w:ascii="Verdana" w:hAnsi="Verdana"/>
          <w:sz w:val="22"/>
          <w:szCs w:val="22"/>
          <w:lang w:val="de-DE"/>
        </w:rPr>
      </w:pPr>
      <w:r w:rsidRPr="007C4CC4">
        <w:rPr>
          <w:rFonts w:ascii="Verdana" w:hAnsi="Verdana"/>
          <w:color w:val="000000"/>
          <w:kern w:val="28"/>
          <w:sz w:val="22"/>
          <w:lang w:val="de-DE"/>
        </w:rPr>
        <w:t>Fax: + 32 </w:t>
      </w:r>
      <w:r w:rsidR="005C03F3" w:rsidRPr="007C4CC4">
        <w:rPr>
          <w:rFonts w:ascii="Verdana" w:hAnsi="Verdana"/>
          <w:color w:val="000000"/>
          <w:kern w:val="28"/>
          <w:sz w:val="22"/>
          <w:lang w:val="de-DE"/>
        </w:rPr>
        <w:t>27713817</w:t>
      </w:r>
    </w:p>
    <w:p w:rsidR="005C03F3" w:rsidRPr="007C4CC4" w:rsidRDefault="005C03F3" w:rsidP="006558BC">
      <w:pPr>
        <w:rPr>
          <w:rFonts w:ascii="Verdana" w:hAnsi="Verdana"/>
          <w:sz w:val="22"/>
          <w:szCs w:val="22"/>
          <w:lang w:val="de-DE"/>
        </w:rPr>
      </w:pPr>
      <w:r w:rsidRPr="007C4CC4">
        <w:rPr>
          <w:rFonts w:ascii="Verdana" w:hAnsi="Verdana"/>
          <w:sz w:val="22"/>
          <w:lang w:val="de-DE"/>
        </w:rPr>
        <w:t xml:space="preserve">E-post: </w:t>
      </w:r>
      <w:hyperlink r:id="rId15">
        <w:r w:rsidRPr="007C4CC4">
          <w:rPr>
            <w:rFonts w:ascii="Verdana" w:hAnsi="Verdana"/>
            <w:sz w:val="22"/>
            <w:lang w:val="de-DE"/>
          </w:rPr>
          <w:t>mailto:info@efisc.eu</w:t>
        </w:r>
      </w:hyperlink>
    </w:p>
    <w:p w:rsidR="005C03F3" w:rsidRPr="00360F70" w:rsidRDefault="005C03F3" w:rsidP="006558BC">
      <w:pPr>
        <w:rPr>
          <w:rFonts w:ascii="Verdana" w:hAnsi="Verdana"/>
          <w:sz w:val="22"/>
          <w:szCs w:val="22"/>
        </w:rPr>
      </w:pPr>
      <w:r w:rsidRPr="00360F70">
        <w:rPr>
          <w:rFonts w:ascii="Verdana" w:hAnsi="Verdana"/>
          <w:sz w:val="22"/>
        </w:rPr>
        <w:t xml:space="preserve">Webbplats: </w:t>
      </w:r>
      <w:hyperlink r:id="rId16">
        <w:r w:rsidRPr="00360F70">
          <w:rPr>
            <w:rFonts w:ascii="Verdana" w:hAnsi="Verdana"/>
            <w:sz w:val="22"/>
          </w:rPr>
          <w:t>www.efisc.eu</w:t>
        </w:r>
      </w:hyperlink>
    </w:p>
    <w:p w:rsidR="005C03F3" w:rsidRPr="00360F70" w:rsidRDefault="005C03F3" w:rsidP="005C03F3">
      <w:pPr>
        <w:widowControl w:val="0"/>
        <w:spacing w:after="140"/>
        <w:rPr>
          <w:rFonts w:ascii="Verdana" w:hAnsi="Verdana"/>
          <w:b/>
          <w:color w:val="808080"/>
          <w:kern w:val="28"/>
          <w:sz w:val="22"/>
          <w:szCs w:val="22"/>
        </w:rPr>
      </w:pPr>
    </w:p>
    <w:p w:rsidR="00416305" w:rsidRPr="00360F70" w:rsidRDefault="00416305" w:rsidP="00416305">
      <w:pPr>
        <w:widowControl w:val="0"/>
        <w:spacing w:after="140"/>
        <w:rPr>
          <w:rFonts w:ascii="Verdana" w:hAnsi="Verdana"/>
          <w:b/>
          <w:color w:val="808080"/>
          <w:kern w:val="28"/>
          <w:sz w:val="22"/>
          <w:szCs w:val="22"/>
        </w:rPr>
      </w:pPr>
      <w:r w:rsidRPr="00360F70">
        <w:rPr>
          <w:rFonts w:ascii="Verdana" w:hAnsi="Verdana"/>
          <w:b/>
          <w:color w:val="808080"/>
          <w:kern w:val="28"/>
          <w:sz w:val="22"/>
        </w:rPr>
        <w:t>Publicerings- och copyrightinformation</w:t>
      </w:r>
    </w:p>
    <w:p w:rsidR="00416305" w:rsidRPr="00360F70" w:rsidRDefault="00416305" w:rsidP="00416305">
      <w:pPr>
        <w:widowControl w:val="0"/>
        <w:spacing w:after="140"/>
        <w:rPr>
          <w:rFonts w:ascii="Verdana" w:hAnsi="Verdana"/>
          <w:sz w:val="22"/>
          <w:szCs w:val="22"/>
        </w:rPr>
      </w:pPr>
      <w:r w:rsidRPr="00360F70">
        <w:rPr>
          <w:rFonts w:ascii="Verdana" w:hAnsi="Verdana"/>
          <w:sz w:val="22"/>
        </w:rPr>
        <w:t>Alla rättigheter förbehålls</w:t>
      </w:r>
      <w:r w:rsidRPr="00360F70">
        <w:rPr>
          <w:rFonts w:ascii="Verdana" w:hAnsi="Verdana"/>
          <w:color w:val="1F497D"/>
          <w:sz w:val="22"/>
        </w:rPr>
        <w:t xml:space="preserve"> </w:t>
      </w:r>
      <w:r w:rsidRPr="00360F70">
        <w:rPr>
          <w:rFonts w:ascii="Verdana" w:hAnsi="Verdana"/>
          <w:sz w:val="22"/>
        </w:rPr>
        <w:t>©EFISC Aisbl</w:t>
      </w:r>
    </w:p>
    <w:p w:rsidR="00416305" w:rsidRPr="00360F70" w:rsidRDefault="00416305" w:rsidP="00416305">
      <w:pPr>
        <w:widowControl w:val="0"/>
        <w:spacing w:after="140"/>
        <w:rPr>
          <w:rFonts w:ascii="Verdana" w:hAnsi="Verdana"/>
          <w:color w:val="000000"/>
          <w:kern w:val="28"/>
          <w:sz w:val="22"/>
          <w:szCs w:val="22"/>
        </w:rPr>
      </w:pPr>
      <w:r w:rsidRPr="00360F70">
        <w:rPr>
          <w:rFonts w:ascii="Verdana" w:hAnsi="Verdana"/>
          <w:color w:val="000000"/>
          <w:kern w:val="28"/>
          <w:sz w:val="22"/>
        </w:rPr>
        <w:t>Version 1.1</w:t>
      </w:r>
    </w:p>
    <w:p w:rsidR="005C03F3" w:rsidRPr="00360F70" w:rsidRDefault="00416305" w:rsidP="00416305">
      <w:pPr>
        <w:widowControl w:val="0"/>
        <w:spacing w:after="140"/>
        <w:rPr>
          <w:rFonts w:ascii="Verdana" w:hAnsi="Verdana"/>
          <w:b/>
          <w:color w:val="000000"/>
          <w:kern w:val="28"/>
          <w:sz w:val="22"/>
          <w:szCs w:val="22"/>
        </w:rPr>
      </w:pPr>
      <w:r w:rsidRPr="00360F70">
        <w:rPr>
          <w:rFonts w:ascii="Verdana" w:hAnsi="Verdana"/>
          <w:color w:val="000000"/>
          <w:kern w:val="28"/>
          <w:sz w:val="22"/>
        </w:rPr>
        <w:t>Gäller från och med november 2014</w:t>
      </w:r>
    </w:p>
    <w:p w:rsidR="005E187D" w:rsidRPr="00360F70" w:rsidRDefault="005C03F3">
      <w:pPr>
        <w:rPr>
          <w:rStyle w:val="Strong"/>
          <w:rFonts w:ascii="Verdana" w:hAnsi="Verdana" w:cs="Tahoma"/>
          <w:b w:val="0"/>
          <w:bCs w:val="0"/>
          <w:szCs w:val="20"/>
        </w:rPr>
      </w:pPr>
      <w:r w:rsidRPr="00360F70">
        <w:rPr>
          <w:rStyle w:val="Strong"/>
          <w:rFonts w:ascii="Verdana" w:hAnsi="Verdana"/>
          <w:b w:val="0"/>
        </w:rPr>
        <w:lastRenderedPageBreak/>
        <w:t xml:space="preserve"> </w:t>
      </w:r>
    </w:p>
    <w:p w:rsidR="00120270" w:rsidRPr="00360F70" w:rsidRDefault="00120270" w:rsidP="00120270">
      <w:pPr>
        <w:pBdr>
          <w:top w:val="single" w:sz="4" w:space="1" w:color="auto"/>
          <w:left w:val="single" w:sz="4" w:space="4" w:color="auto"/>
          <w:bottom w:val="single" w:sz="4" w:space="1" w:color="auto"/>
          <w:right w:val="single" w:sz="4" w:space="4" w:color="auto"/>
        </w:pBdr>
        <w:shd w:val="clear" w:color="auto" w:fill="FDE9D9"/>
        <w:jc w:val="center"/>
        <w:rPr>
          <w:rFonts w:cs="Tahoma"/>
        </w:rPr>
      </w:pPr>
      <w:r w:rsidRPr="00360F70">
        <w:rPr>
          <w:color w:val="FF0000"/>
        </w:rPr>
        <w:t>Inom ramen för detta referensdokument för biodieselbranschen behandlas inte produktionsprocesser som rör djurfetter och spilloljor och foderråvaror som härrör från dessa. De är därför undantagna från detta branschspecifika dokument och kan inte EFISC-certifieras.</w:t>
      </w:r>
    </w:p>
    <w:p w:rsidR="007C2084" w:rsidRPr="00360F70" w:rsidRDefault="007C2084" w:rsidP="006D3ABA">
      <w:pPr>
        <w:jc w:val="both"/>
        <w:rPr>
          <w:rFonts w:ascii="Verdana" w:hAnsi="Verdana" w:cs="Tahoma"/>
          <w:szCs w:val="20"/>
        </w:rPr>
      </w:pPr>
    </w:p>
    <w:p w:rsidR="00120270" w:rsidRPr="00360F70" w:rsidRDefault="00120270" w:rsidP="00120270">
      <w:pPr>
        <w:pBdr>
          <w:top w:val="single" w:sz="4" w:space="1" w:color="auto"/>
          <w:left w:val="single" w:sz="4" w:space="4" w:color="auto"/>
          <w:bottom w:val="single" w:sz="4" w:space="1" w:color="auto"/>
          <w:right w:val="single" w:sz="4" w:space="4" w:color="auto"/>
        </w:pBdr>
        <w:jc w:val="center"/>
        <w:rPr>
          <w:rFonts w:ascii="Verdana" w:hAnsi="Verdana"/>
        </w:rPr>
      </w:pPr>
      <w:r w:rsidRPr="00360F70">
        <w:rPr>
          <w:rFonts w:ascii="Verdana" w:hAnsi="Verdana"/>
        </w:rPr>
        <w:t>Denna riskbedömning bygger på Fediols branschspecifika referensdokument (bilaga 4 till Europeiska riktlinjer för god praxis vid industriell framställning av säkra foderråvaror) för tillverkning av vegetabiliska oljor. Startpunkten för riskbedömningen är därför transport av inkommande material.</w:t>
      </w:r>
    </w:p>
    <w:p w:rsidR="00387FC1" w:rsidRPr="00360F70" w:rsidRDefault="00387FC1" w:rsidP="006D3ABA">
      <w:pPr>
        <w:jc w:val="both"/>
        <w:rPr>
          <w:rFonts w:ascii="Verdana" w:hAnsi="Verdana" w:cs="Tahoma"/>
          <w:szCs w:val="20"/>
        </w:rPr>
      </w:pPr>
    </w:p>
    <w:p w:rsidR="00C24B83" w:rsidRPr="00360F70" w:rsidRDefault="00C24B83" w:rsidP="00DD7B4B">
      <w:pPr>
        <w:pStyle w:val="Heading1"/>
        <w:tabs>
          <w:tab w:val="clear" w:pos="432"/>
          <w:tab w:val="num" w:pos="408"/>
        </w:tabs>
        <w:rPr>
          <w:rFonts w:ascii="Verdana" w:hAnsi="Verdana" w:cs="Tahoma"/>
        </w:rPr>
      </w:pPr>
      <w:bookmarkStart w:id="0" w:name="_Toc354998605"/>
      <w:bookmarkStart w:id="1" w:name="_Toc438114530"/>
      <w:r w:rsidRPr="00360F70">
        <w:rPr>
          <w:rFonts w:ascii="Verdana" w:hAnsi="Verdana"/>
        </w:rPr>
        <w:t>Inledning</w:t>
      </w:r>
      <w:bookmarkEnd w:id="0"/>
      <w:bookmarkEnd w:id="1"/>
      <w:r w:rsidRPr="00360F70">
        <w:rPr>
          <w:rFonts w:ascii="Verdana" w:hAnsi="Verdana"/>
        </w:rPr>
        <w:t xml:space="preserve"> </w:t>
      </w:r>
    </w:p>
    <w:p w:rsidR="00C24B83" w:rsidRPr="00360F70" w:rsidRDefault="00C24B83" w:rsidP="00C24B83">
      <w:pPr>
        <w:rPr>
          <w:rFonts w:ascii="Verdana" w:hAnsi="Verdana"/>
        </w:rPr>
      </w:pPr>
    </w:p>
    <w:p w:rsidR="00F66E5E" w:rsidRPr="00360F70" w:rsidRDefault="00C24B83" w:rsidP="00C24B83">
      <w:pPr>
        <w:jc w:val="both"/>
        <w:rPr>
          <w:rFonts w:ascii="Verdana" w:hAnsi="Verdana" w:cs="Tahoma"/>
        </w:rPr>
      </w:pPr>
      <w:r w:rsidRPr="00360F70">
        <w:rPr>
          <w:rFonts w:ascii="Verdana" w:hAnsi="Verdana"/>
        </w:rPr>
        <w:t xml:space="preserve">Medlemmarna i European Biodiesel Board (nedan kallat EBB) tillverkar utöver biodiesel ett antal samprodukter som kan användas för tillverkning av foder och för tekniska ändamål. EBB har nästan 80 medlemsföretag och medlemsorganisationer i 21 av EU:s medlemsländer. </w:t>
      </w:r>
    </w:p>
    <w:p w:rsidR="00F66E5E" w:rsidRPr="00360F70" w:rsidRDefault="00F66E5E" w:rsidP="00C24B83">
      <w:pPr>
        <w:jc w:val="both"/>
        <w:rPr>
          <w:rFonts w:ascii="Verdana" w:hAnsi="Verdana" w:cs="Tahoma"/>
        </w:rPr>
      </w:pPr>
    </w:p>
    <w:p w:rsidR="00C24B83" w:rsidRPr="00360F70" w:rsidRDefault="00C24B83" w:rsidP="00C24B83">
      <w:pPr>
        <w:pStyle w:val="NoSpacing"/>
        <w:rPr>
          <w:rFonts w:ascii="Verdana" w:hAnsi="Verdana" w:cs="Tahoma"/>
        </w:rPr>
      </w:pPr>
      <w:proofErr w:type="spellStart"/>
      <w:r w:rsidRPr="00360F70">
        <w:rPr>
          <w:rFonts w:ascii="Verdana" w:hAnsi="Verdana"/>
        </w:rPr>
        <w:t>EBB:s</w:t>
      </w:r>
      <w:proofErr w:type="spellEnd"/>
      <w:r w:rsidRPr="00360F70">
        <w:rPr>
          <w:rFonts w:ascii="Verdana" w:hAnsi="Verdana"/>
        </w:rPr>
        <w:t xml:space="preserve"> medlemmar är angelägna om att tillverka säkra foderråvaror och visa att de följer de europeiska kraven på hälsa och säkerhet, särskilt inom ramen för förordning (EG) nr 183/2005 om foderhygien och förordning (EU) nr 68/2013 om en förteckning över foderråvaror. </w:t>
      </w:r>
    </w:p>
    <w:p w:rsidR="00C24B83" w:rsidRPr="00360F70" w:rsidRDefault="00C24B83" w:rsidP="00C24B83">
      <w:pPr>
        <w:pStyle w:val="NoSpacing"/>
        <w:rPr>
          <w:rFonts w:ascii="Verdana" w:hAnsi="Verdana" w:cs="Tahoma"/>
        </w:rPr>
      </w:pPr>
    </w:p>
    <w:p w:rsidR="00C24B83" w:rsidRPr="00360F70" w:rsidRDefault="00C24B83" w:rsidP="00C24B83">
      <w:pPr>
        <w:pStyle w:val="NoSpacing"/>
        <w:rPr>
          <w:rFonts w:ascii="Verdana" w:hAnsi="Verdana" w:cs="Tahoma"/>
        </w:rPr>
      </w:pPr>
      <w:r w:rsidRPr="00360F70">
        <w:rPr>
          <w:rFonts w:ascii="Verdana" w:hAnsi="Verdana"/>
        </w:rPr>
        <w:t xml:space="preserve">Biodiesel är ett förnybart bränsle som erbjuder ett hållbart alternativ till fossila bränslen. Utöver att minska utsläppen av växthusgaser från de europeiska transporterna tillhandahåller biodieselindustrin även stora mängder glycerin som används i djurfoder, samt andra biprodukter som används för tekniska ändamål. </w:t>
      </w:r>
    </w:p>
    <w:p w:rsidR="00C24B83" w:rsidRPr="00360F70" w:rsidRDefault="00C24B83" w:rsidP="00C24B83">
      <w:pPr>
        <w:pStyle w:val="NoSpacing"/>
        <w:rPr>
          <w:rFonts w:ascii="Verdana" w:hAnsi="Verdana" w:cs="Tahoma"/>
        </w:rPr>
      </w:pPr>
    </w:p>
    <w:p w:rsidR="007C2084" w:rsidRPr="00360F70" w:rsidRDefault="00C24B83" w:rsidP="00C24B83">
      <w:pPr>
        <w:pStyle w:val="NoSpacing"/>
        <w:rPr>
          <w:rFonts w:ascii="Verdana" w:hAnsi="Verdana" w:cs="Tahoma"/>
        </w:rPr>
      </w:pPr>
      <w:r w:rsidRPr="00360F70">
        <w:rPr>
          <w:rFonts w:ascii="Verdana" w:hAnsi="Verdana"/>
        </w:rPr>
        <w:t xml:space="preserve">Syftet med följande dokument är att vägleda biodieseltillverkare i arbetet med att leverera säkra foderråvaror. EBB har genomfört riskbedömningar av foderkedjan från de viktigaste råvarorna som bearbetas inom branschen. Riskbedömningarna erbjuder biodieseltillverkarna ett verktyg för utvärdering av deras hanteringssystem för fodersäkerhet. De är också tänkta att ge tillverkarna stöd i deras dialog om kontroll av kedjan med kunder, leverantörer och andra intressenter. De riskbedömningar som anger kontrollåtgärder är en mer detaljerad applikation av HACCP och understödjande grundförutsättningar enligt kapitel 5 och 6 i de åtföljande europeiska riktlinjerna. </w:t>
      </w:r>
    </w:p>
    <w:p w:rsidR="00EF37AB" w:rsidRPr="00360F70" w:rsidRDefault="00EF37AB" w:rsidP="00C24B83">
      <w:pPr>
        <w:pStyle w:val="NoSpacing"/>
        <w:rPr>
          <w:rFonts w:ascii="Verdana" w:hAnsi="Verdana" w:cs="Tahoma"/>
        </w:rPr>
      </w:pPr>
    </w:p>
    <w:p w:rsidR="00C24B83" w:rsidRPr="00360F70" w:rsidRDefault="00C24B83" w:rsidP="00C24B83">
      <w:pPr>
        <w:pStyle w:val="NoSpacing"/>
        <w:rPr>
          <w:rFonts w:ascii="Verdana" w:hAnsi="Verdana" w:cs="Tahoma"/>
        </w:rPr>
      </w:pPr>
      <w:r w:rsidRPr="00360F70">
        <w:rPr>
          <w:rFonts w:ascii="Verdana" w:hAnsi="Verdana"/>
        </w:rPr>
        <w:t xml:space="preserve">EBB vill understryka att det alltid är företagen själva som har det primära ansvaret för att leverera säkra foder och att denna riskbedömning inte kan ersätta företagets eget ansvarstagande. </w:t>
      </w:r>
    </w:p>
    <w:p w:rsidR="00863625" w:rsidRPr="00360F70" w:rsidRDefault="00863625" w:rsidP="006D3ABA">
      <w:pPr>
        <w:jc w:val="both"/>
        <w:rPr>
          <w:rFonts w:ascii="Verdana" w:hAnsi="Verdana" w:cs="Tahoma"/>
          <w:szCs w:val="20"/>
        </w:rPr>
      </w:pPr>
    </w:p>
    <w:p w:rsidR="007207A0" w:rsidRPr="00360F70" w:rsidRDefault="007207A0" w:rsidP="00A54A61">
      <w:pPr>
        <w:jc w:val="both"/>
        <w:rPr>
          <w:rFonts w:ascii="Verdana" w:hAnsi="Verdana"/>
        </w:rPr>
      </w:pPr>
    </w:p>
    <w:p w:rsidR="007207A0" w:rsidRPr="00360F70" w:rsidRDefault="00387FC1" w:rsidP="004835CF">
      <w:pPr>
        <w:jc w:val="center"/>
        <w:rPr>
          <w:rFonts w:ascii="Verdana" w:hAnsi="Verdana"/>
          <w:b/>
          <w:sz w:val="22"/>
          <w:szCs w:val="22"/>
        </w:rPr>
      </w:pPr>
      <w:r w:rsidRPr="00360F70">
        <w:br w:type="page"/>
      </w:r>
      <w:r w:rsidRPr="00360F70">
        <w:rPr>
          <w:rFonts w:ascii="Verdana" w:hAnsi="Verdana"/>
          <w:b/>
          <w:sz w:val="22"/>
        </w:rPr>
        <w:lastRenderedPageBreak/>
        <w:t>Innehållsförteckning</w:t>
      </w:r>
    </w:p>
    <w:p w:rsidR="009054A0" w:rsidRPr="00360F70" w:rsidRDefault="009054A0" w:rsidP="004835CF">
      <w:pPr>
        <w:jc w:val="center"/>
        <w:rPr>
          <w:rFonts w:ascii="Verdana" w:hAnsi="Verdana"/>
          <w:b/>
          <w:sz w:val="22"/>
          <w:szCs w:val="22"/>
        </w:rPr>
      </w:pPr>
    </w:p>
    <w:p w:rsidR="009D7C0A" w:rsidRDefault="007C363B">
      <w:pPr>
        <w:pStyle w:val="TOC1"/>
        <w:rPr>
          <w:rFonts w:asciiTheme="minorHAnsi" w:eastAsiaTheme="minorEastAsia" w:hAnsiTheme="minorHAnsi" w:cstheme="minorBidi"/>
          <w:b w:val="0"/>
          <w:sz w:val="22"/>
          <w:szCs w:val="22"/>
          <w:lang w:val="en-GB" w:eastAsia="en-GB" w:bidi="ar-SA"/>
        </w:rPr>
      </w:pPr>
      <w:r w:rsidRPr="00360F70">
        <w:fldChar w:fldCharType="begin"/>
      </w:r>
      <w:r w:rsidR="00863625" w:rsidRPr="00360F70">
        <w:instrText xml:space="preserve"> TOC \o "1-3" \h \z \u </w:instrText>
      </w:r>
      <w:r w:rsidRPr="00360F70">
        <w:fldChar w:fldCharType="separate"/>
      </w:r>
      <w:hyperlink w:anchor="_Toc438114530" w:history="1">
        <w:r w:rsidR="009D7C0A" w:rsidRPr="00DD7417">
          <w:rPr>
            <w:rStyle w:val="Hyperlink"/>
            <w:rFonts w:cs="Tahoma"/>
          </w:rPr>
          <w:t>1.</w:t>
        </w:r>
        <w:r w:rsidR="009D7C0A">
          <w:rPr>
            <w:rFonts w:asciiTheme="minorHAnsi" w:eastAsiaTheme="minorEastAsia" w:hAnsiTheme="minorHAnsi" w:cstheme="minorBidi"/>
            <w:b w:val="0"/>
            <w:sz w:val="22"/>
            <w:szCs w:val="22"/>
            <w:lang w:val="en-GB" w:eastAsia="en-GB" w:bidi="ar-SA"/>
          </w:rPr>
          <w:tab/>
        </w:r>
        <w:r w:rsidR="009D7C0A" w:rsidRPr="00DD7417">
          <w:rPr>
            <w:rStyle w:val="Hyperlink"/>
          </w:rPr>
          <w:t>Inledning</w:t>
        </w:r>
        <w:r w:rsidR="009D7C0A">
          <w:rPr>
            <w:webHidden/>
          </w:rPr>
          <w:tab/>
        </w:r>
        <w:r w:rsidR="009D7C0A">
          <w:rPr>
            <w:webHidden/>
          </w:rPr>
          <w:fldChar w:fldCharType="begin"/>
        </w:r>
        <w:r w:rsidR="009D7C0A">
          <w:rPr>
            <w:webHidden/>
          </w:rPr>
          <w:instrText xml:space="preserve"> PAGEREF _Toc438114530 \h </w:instrText>
        </w:r>
        <w:r w:rsidR="009D7C0A">
          <w:rPr>
            <w:webHidden/>
          </w:rPr>
        </w:r>
        <w:r w:rsidR="009D7C0A">
          <w:rPr>
            <w:webHidden/>
          </w:rPr>
          <w:fldChar w:fldCharType="separate"/>
        </w:r>
        <w:r w:rsidR="009D7C0A">
          <w:rPr>
            <w:webHidden/>
          </w:rPr>
          <w:t>3</w:t>
        </w:r>
        <w:r w:rsidR="009D7C0A">
          <w:rPr>
            <w:webHidden/>
          </w:rPr>
          <w:fldChar w:fldCharType="end"/>
        </w:r>
      </w:hyperlink>
    </w:p>
    <w:p w:rsidR="009D7C0A" w:rsidRDefault="009D7C0A">
      <w:pPr>
        <w:pStyle w:val="TOC1"/>
        <w:rPr>
          <w:rFonts w:asciiTheme="minorHAnsi" w:eastAsiaTheme="minorEastAsia" w:hAnsiTheme="minorHAnsi" w:cstheme="minorBidi"/>
          <w:b w:val="0"/>
          <w:sz w:val="22"/>
          <w:szCs w:val="22"/>
          <w:lang w:val="en-GB" w:eastAsia="en-GB" w:bidi="ar-SA"/>
        </w:rPr>
      </w:pPr>
      <w:hyperlink w:anchor="_Toc438114531" w:history="1">
        <w:r w:rsidRPr="00DD7417">
          <w:rPr>
            <w:rStyle w:val="Hyperlink"/>
          </w:rPr>
          <w:t>2.</w:t>
        </w:r>
        <w:r>
          <w:rPr>
            <w:rFonts w:asciiTheme="minorHAnsi" w:eastAsiaTheme="minorEastAsia" w:hAnsiTheme="minorHAnsi" w:cstheme="minorBidi"/>
            <w:b w:val="0"/>
            <w:sz w:val="22"/>
            <w:szCs w:val="22"/>
            <w:lang w:val="en-GB" w:eastAsia="en-GB" w:bidi="ar-SA"/>
          </w:rPr>
          <w:tab/>
        </w:r>
        <w:r w:rsidRPr="00DD7417">
          <w:rPr>
            <w:rStyle w:val="Hyperlink"/>
          </w:rPr>
          <w:t>Förteckning över foderråvaror</w:t>
        </w:r>
        <w:r>
          <w:rPr>
            <w:webHidden/>
          </w:rPr>
          <w:tab/>
        </w:r>
        <w:r>
          <w:rPr>
            <w:webHidden/>
          </w:rPr>
          <w:fldChar w:fldCharType="begin"/>
        </w:r>
        <w:r>
          <w:rPr>
            <w:webHidden/>
          </w:rPr>
          <w:instrText xml:space="preserve"> PAGEREF _Toc438114531 \h </w:instrText>
        </w:r>
        <w:r>
          <w:rPr>
            <w:webHidden/>
          </w:rPr>
        </w:r>
        <w:r>
          <w:rPr>
            <w:webHidden/>
          </w:rPr>
          <w:fldChar w:fldCharType="separate"/>
        </w:r>
        <w:r>
          <w:rPr>
            <w:webHidden/>
          </w:rPr>
          <w:t>5</w:t>
        </w:r>
        <w:r>
          <w:rPr>
            <w:webHidden/>
          </w:rPr>
          <w:fldChar w:fldCharType="end"/>
        </w:r>
      </w:hyperlink>
    </w:p>
    <w:p w:rsidR="009D7C0A" w:rsidRDefault="009D7C0A">
      <w:pPr>
        <w:pStyle w:val="TOC1"/>
        <w:rPr>
          <w:rFonts w:asciiTheme="minorHAnsi" w:eastAsiaTheme="minorEastAsia" w:hAnsiTheme="minorHAnsi" w:cstheme="minorBidi"/>
          <w:b w:val="0"/>
          <w:sz w:val="22"/>
          <w:szCs w:val="22"/>
          <w:lang w:val="en-GB" w:eastAsia="en-GB" w:bidi="ar-SA"/>
        </w:rPr>
      </w:pPr>
      <w:hyperlink w:anchor="_Toc438114532" w:history="1">
        <w:r w:rsidRPr="00DD7417">
          <w:rPr>
            <w:rStyle w:val="Hyperlink"/>
            <w:rFonts w:cs="Tahoma"/>
          </w:rPr>
          <w:t>3.</w:t>
        </w:r>
        <w:r>
          <w:rPr>
            <w:rFonts w:asciiTheme="minorHAnsi" w:eastAsiaTheme="minorEastAsia" w:hAnsiTheme="minorHAnsi" w:cstheme="minorBidi"/>
            <w:b w:val="0"/>
            <w:sz w:val="22"/>
            <w:szCs w:val="22"/>
            <w:lang w:val="en-GB" w:eastAsia="en-GB" w:bidi="ar-SA"/>
          </w:rPr>
          <w:tab/>
        </w:r>
        <w:r w:rsidRPr="00DD7417">
          <w:rPr>
            <w:rStyle w:val="Hyperlink"/>
          </w:rPr>
          <w:t>Processbeskrivning för biodiesel</w:t>
        </w:r>
        <w:r>
          <w:rPr>
            <w:webHidden/>
          </w:rPr>
          <w:tab/>
        </w:r>
        <w:r>
          <w:rPr>
            <w:webHidden/>
          </w:rPr>
          <w:fldChar w:fldCharType="begin"/>
        </w:r>
        <w:r>
          <w:rPr>
            <w:webHidden/>
          </w:rPr>
          <w:instrText xml:space="preserve"> PAGEREF _Toc438114532 \h </w:instrText>
        </w:r>
        <w:r>
          <w:rPr>
            <w:webHidden/>
          </w:rPr>
        </w:r>
        <w:r>
          <w:rPr>
            <w:webHidden/>
          </w:rPr>
          <w:fldChar w:fldCharType="separate"/>
        </w:r>
        <w:r>
          <w:rPr>
            <w:webHidden/>
          </w:rPr>
          <w:t>7</w:t>
        </w:r>
        <w:r>
          <w:rPr>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3" w:history="1">
        <w:r w:rsidRPr="00DD7417">
          <w:rPr>
            <w:rStyle w:val="Hyperlink"/>
            <w:rFonts w:ascii="Verdana" w:hAnsi="Verdana"/>
            <w:noProof/>
          </w:rPr>
          <w:t>3.1.</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Mottagning av vegetabilisk olja</w:t>
        </w:r>
        <w:r>
          <w:rPr>
            <w:noProof/>
            <w:webHidden/>
          </w:rPr>
          <w:tab/>
        </w:r>
        <w:r>
          <w:rPr>
            <w:noProof/>
            <w:webHidden/>
          </w:rPr>
          <w:fldChar w:fldCharType="begin"/>
        </w:r>
        <w:r>
          <w:rPr>
            <w:noProof/>
            <w:webHidden/>
          </w:rPr>
          <w:instrText xml:space="preserve"> PAGEREF _Toc438114533 \h </w:instrText>
        </w:r>
        <w:r>
          <w:rPr>
            <w:noProof/>
            <w:webHidden/>
          </w:rPr>
        </w:r>
        <w:r>
          <w:rPr>
            <w:noProof/>
            <w:webHidden/>
          </w:rPr>
          <w:fldChar w:fldCharType="separate"/>
        </w:r>
        <w:r>
          <w:rPr>
            <w:noProof/>
            <w:webHidden/>
          </w:rPr>
          <w:t>7</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4" w:history="1">
        <w:r w:rsidRPr="00DD7417">
          <w:rPr>
            <w:rStyle w:val="Hyperlink"/>
            <w:rFonts w:ascii="Verdana" w:hAnsi="Verdana"/>
            <w:noProof/>
          </w:rPr>
          <w:t>3.2.</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Reaktionsfas/Transesterifiering</w:t>
        </w:r>
        <w:r>
          <w:rPr>
            <w:noProof/>
            <w:webHidden/>
          </w:rPr>
          <w:tab/>
        </w:r>
        <w:r>
          <w:rPr>
            <w:noProof/>
            <w:webHidden/>
          </w:rPr>
          <w:fldChar w:fldCharType="begin"/>
        </w:r>
        <w:r>
          <w:rPr>
            <w:noProof/>
            <w:webHidden/>
          </w:rPr>
          <w:instrText xml:space="preserve"> PAGEREF _Toc438114534 \h </w:instrText>
        </w:r>
        <w:r>
          <w:rPr>
            <w:noProof/>
            <w:webHidden/>
          </w:rPr>
        </w:r>
        <w:r>
          <w:rPr>
            <w:noProof/>
            <w:webHidden/>
          </w:rPr>
          <w:fldChar w:fldCharType="separate"/>
        </w:r>
        <w:r>
          <w:rPr>
            <w:noProof/>
            <w:webHidden/>
          </w:rPr>
          <w:t>7</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5" w:history="1">
        <w:r w:rsidRPr="00DD7417">
          <w:rPr>
            <w:rStyle w:val="Hyperlink"/>
            <w:rFonts w:ascii="Verdana" w:hAnsi="Verdana"/>
            <w:noProof/>
          </w:rPr>
          <w:t>3.3.</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Separationsfasen</w:t>
        </w:r>
        <w:r>
          <w:rPr>
            <w:noProof/>
            <w:webHidden/>
          </w:rPr>
          <w:tab/>
        </w:r>
        <w:r>
          <w:rPr>
            <w:noProof/>
            <w:webHidden/>
          </w:rPr>
          <w:fldChar w:fldCharType="begin"/>
        </w:r>
        <w:r>
          <w:rPr>
            <w:noProof/>
            <w:webHidden/>
          </w:rPr>
          <w:instrText xml:space="preserve"> PAGEREF _Toc438114535 \h </w:instrText>
        </w:r>
        <w:r>
          <w:rPr>
            <w:noProof/>
            <w:webHidden/>
          </w:rPr>
        </w:r>
        <w:r>
          <w:rPr>
            <w:noProof/>
            <w:webHidden/>
          </w:rPr>
          <w:fldChar w:fldCharType="separate"/>
        </w:r>
        <w:r>
          <w:rPr>
            <w:noProof/>
            <w:webHidden/>
          </w:rPr>
          <w:t>8</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6" w:history="1">
        <w:r w:rsidRPr="00DD7417">
          <w:rPr>
            <w:rStyle w:val="Hyperlink"/>
            <w:rFonts w:ascii="Verdana" w:hAnsi="Verdana"/>
            <w:noProof/>
          </w:rPr>
          <w:t>3.4.</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Syrabehandling och separation av fria fettsyror</w:t>
        </w:r>
        <w:r>
          <w:rPr>
            <w:noProof/>
            <w:webHidden/>
          </w:rPr>
          <w:tab/>
        </w:r>
        <w:r>
          <w:rPr>
            <w:noProof/>
            <w:webHidden/>
          </w:rPr>
          <w:fldChar w:fldCharType="begin"/>
        </w:r>
        <w:r>
          <w:rPr>
            <w:noProof/>
            <w:webHidden/>
          </w:rPr>
          <w:instrText xml:space="preserve"> PAGEREF _Toc438114536 \h </w:instrText>
        </w:r>
        <w:r>
          <w:rPr>
            <w:noProof/>
            <w:webHidden/>
          </w:rPr>
        </w:r>
        <w:r>
          <w:rPr>
            <w:noProof/>
            <w:webHidden/>
          </w:rPr>
          <w:fldChar w:fldCharType="separate"/>
        </w:r>
        <w:r>
          <w:rPr>
            <w:noProof/>
            <w:webHidden/>
          </w:rPr>
          <w:t>8</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7" w:history="1">
        <w:r w:rsidRPr="00DD7417">
          <w:rPr>
            <w:rStyle w:val="Hyperlink"/>
            <w:rFonts w:ascii="Verdana" w:hAnsi="Verdana"/>
            <w:noProof/>
          </w:rPr>
          <w:t>3.5.</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Neutralisering av glycerin</w:t>
        </w:r>
        <w:r>
          <w:rPr>
            <w:noProof/>
            <w:webHidden/>
          </w:rPr>
          <w:tab/>
        </w:r>
        <w:r>
          <w:rPr>
            <w:noProof/>
            <w:webHidden/>
          </w:rPr>
          <w:fldChar w:fldCharType="begin"/>
        </w:r>
        <w:r>
          <w:rPr>
            <w:noProof/>
            <w:webHidden/>
          </w:rPr>
          <w:instrText xml:space="preserve"> PAGEREF _Toc438114537 \h </w:instrText>
        </w:r>
        <w:r>
          <w:rPr>
            <w:noProof/>
            <w:webHidden/>
          </w:rPr>
        </w:r>
        <w:r>
          <w:rPr>
            <w:noProof/>
            <w:webHidden/>
          </w:rPr>
          <w:fldChar w:fldCharType="separate"/>
        </w:r>
        <w:r>
          <w:rPr>
            <w:noProof/>
            <w:webHidden/>
          </w:rPr>
          <w:t>8</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8" w:history="1">
        <w:r w:rsidRPr="00DD7417">
          <w:rPr>
            <w:rStyle w:val="Hyperlink"/>
            <w:rFonts w:ascii="Verdana" w:hAnsi="Verdana"/>
            <w:noProof/>
          </w:rPr>
          <w:t>3.6.</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Tvättning av metylester</w:t>
        </w:r>
        <w:r>
          <w:rPr>
            <w:noProof/>
            <w:webHidden/>
          </w:rPr>
          <w:tab/>
        </w:r>
        <w:r>
          <w:rPr>
            <w:noProof/>
            <w:webHidden/>
          </w:rPr>
          <w:fldChar w:fldCharType="begin"/>
        </w:r>
        <w:r>
          <w:rPr>
            <w:noProof/>
            <w:webHidden/>
          </w:rPr>
          <w:instrText xml:space="preserve"> PAGEREF _Toc438114538 \h </w:instrText>
        </w:r>
        <w:r>
          <w:rPr>
            <w:noProof/>
            <w:webHidden/>
          </w:rPr>
        </w:r>
        <w:r>
          <w:rPr>
            <w:noProof/>
            <w:webHidden/>
          </w:rPr>
          <w:fldChar w:fldCharType="separate"/>
        </w:r>
        <w:r>
          <w:rPr>
            <w:noProof/>
            <w:webHidden/>
          </w:rPr>
          <w:t>8</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39" w:history="1">
        <w:r w:rsidRPr="00DD7417">
          <w:rPr>
            <w:rStyle w:val="Hyperlink"/>
            <w:rFonts w:ascii="Verdana" w:hAnsi="Verdana"/>
            <w:noProof/>
          </w:rPr>
          <w:t>3.7.</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Lagring</w:t>
        </w:r>
        <w:r>
          <w:rPr>
            <w:noProof/>
            <w:webHidden/>
          </w:rPr>
          <w:tab/>
        </w:r>
        <w:r>
          <w:rPr>
            <w:noProof/>
            <w:webHidden/>
          </w:rPr>
          <w:fldChar w:fldCharType="begin"/>
        </w:r>
        <w:r>
          <w:rPr>
            <w:noProof/>
            <w:webHidden/>
          </w:rPr>
          <w:instrText xml:space="preserve"> PAGEREF _Toc438114539 \h </w:instrText>
        </w:r>
        <w:r>
          <w:rPr>
            <w:noProof/>
            <w:webHidden/>
          </w:rPr>
        </w:r>
        <w:r>
          <w:rPr>
            <w:noProof/>
            <w:webHidden/>
          </w:rPr>
          <w:fldChar w:fldCharType="separate"/>
        </w:r>
        <w:r>
          <w:rPr>
            <w:noProof/>
            <w:webHidden/>
          </w:rPr>
          <w:t>8</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40" w:history="1">
        <w:r w:rsidRPr="00DD7417">
          <w:rPr>
            <w:rStyle w:val="Hyperlink"/>
            <w:rFonts w:ascii="Verdana" w:hAnsi="Verdana"/>
            <w:noProof/>
          </w:rPr>
          <w:t>3.8.</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Transport</w:t>
        </w:r>
        <w:r>
          <w:rPr>
            <w:noProof/>
            <w:webHidden/>
          </w:rPr>
          <w:tab/>
        </w:r>
        <w:r>
          <w:rPr>
            <w:noProof/>
            <w:webHidden/>
          </w:rPr>
          <w:fldChar w:fldCharType="begin"/>
        </w:r>
        <w:r>
          <w:rPr>
            <w:noProof/>
            <w:webHidden/>
          </w:rPr>
          <w:instrText xml:space="preserve"> PAGEREF _Toc438114540 \h </w:instrText>
        </w:r>
        <w:r>
          <w:rPr>
            <w:noProof/>
            <w:webHidden/>
          </w:rPr>
        </w:r>
        <w:r>
          <w:rPr>
            <w:noProof/>
            <w:webHidden/>
          </w:rPr>
          <w:fldChar w:fldCharType="separate"/>
        </w:r>
        <w:r>
          <w:rPr>
            <w:noProof/>
            <w:webHidden/>
          </w:rPr>
          <w:t>8</w:t>
        </w:r>
        <w:r>
          <w:rPr>
            <w:noProof/>
            <w:webHidden/>
          </w:rPr>
          <w:fldChar w:fldCharType="end"/>
        </w:r>
      </w:hyperlink>
    </w:p>
    <w:p w:rsidR="009D7C0A" w:rsidRDefault="009D7C0A">
      <w:pPr>
        <w:pStyle w:val="TOC1"/>
        <w:rPr>
          <w:rFonts w:asciiTheme="minorHAnsi" w:eastAsiaTheme="minorEastAsia" w:hAnsiTheme="minorHAnsi" w:cstheme="minorBidi"/>
          <w:b w:val="0"/>
          <w:sz w:val="22"/>
          <w:szCs w:val="22"/>
          <w:lang w:val="en-GB" w:eastAsia="en-GB" w:bidi="ar-SA"/>
        </w:rPr>
      </w:pPr>
      <w:hyperlink w:anchor="_Toc438114541" w:history="1">
        <w:r w:rsidRPr="00DD7417">
          <w:rPr>
            <w:rStyle w:val="Hyperlink"/>
          </w:rPr>
          <w:t>6.</w:t>
        </w:r>
        <w:r>
          <w:rPr>
            <w:rFonts w:asciiTheme="minorHAnsi" w:eastAsiaTheme="minorEastAsia" w:hAnsiTheme="minorHAnsi" w:cstheme="minorBidi"/>
            <w:b w:val="0"/>
            <w:sz w:val="22"/>
            <w:szCs w:val="22"/>
            <w:lang w:val="en-GB" w:eastAsia="en-GB" w:bidi="ar-SA"/>
          </w:rPr>
          <w:tab/>
        </w:r>
        <w:r w:rsidRPr="00DD7417">
          <w:rPr>
            <w:rStyle w:val="Hyperlink"/>
          </w:rPr>
          <w:t>Processflödesschema för biodieselproduktion</w:t>
        </w:r>
        <w:r>
          <w:rPr>
            <w:webHidden/>
          </w:rPr>
          <w:tab/>
        </w:r>
        <w:r>
          <w:rPr>
            <w:webHidden/>
          </w:rPr>
          <w:fldChar w:fldCharType="begin"/>
        </w:r>
        <w:r>
          <w:rPr>
            <w:webHidden/>
          </w:rPr>
          <w:instrText xml:space="preserve"> PAGEREF _Toc438114541 \h </w:instrText>
        </w:r>
        <w:r>
          <w:rPr>
            <w:webHidden/>
          </w:rPr>
        </w:r>
        <w:r>
          <w:rPr>
            <w:webHidden/>
          </w:rPr>
          <w:fldChar w:fldCharType="separate"/>
        </w:r>
        <w:r>
          <w:rPr>
            <w:webHidden/>
          </w:rPr>
          <w:t>9</w:t>
        </w:r>
        <w:r>
          <w:rPr>
            <w:webHidden/>
          </w:rPr>
          <w:fldChar w:fldCharType="end"/>
        </w:r>
      </w:hyperlink>
    </w:p>
    <w:p w:rsidR="009D7C0A" w:rsidRDefault="009D7C0A">
      <w:pPr>
        <w:pStyle w:val="TOC1"/>
        <w:rPr>
          <w:rFonts w:asciiTheme="minorHAnsi" w:eastAsiaTheme="minorEastAsia" w:hAnsiTheme="minorHAnsi" w:cstheme="minorBidi"/>
          <w:b w:val="0"/>
          <w:sz w:val="22"/>
          <w:szCs w:val="22"/>
          <w:lang w:val="en-GB" w:eastAsia="en-GB" w:bidi="ar-SA"/>
        </w:rPr>
      </w:pPr>
      <w:hyperlink w:anchor="_Toc438114542" w:history="1">
        <w:r w:rsidRPr="00DD7417">
          <w:rPr>
            <w:rStyle w:val="Hyperlink"/>
            <w:rFonts w:cs="Tahoma"/>
          </w:rPr>
          <w:t>7.</w:t>
        </w:r>
        <w:r>
          <w:rPr>
            <w:rFonts w:asciiTheme="minorHAnsi" w:eastAsiaTheme="minorEastAsia" w:hAnsiTheme="minorHAnsi" w:cstheme="minorBidi"/>
            <w:b w:val="0"/>
            <w:sz w:val="22"/>
            <w:szCs w:val="22"/>
            <w:lang w:val="en-GB" w:eastAsia="en-GB" w:bidi="ar-SA"/>
          </w:rPr>
          <w:tab/>
        </w:r>
        <w:r w:rsidRPr="00DD7417">
          <w:rPr>
            <w:rStyle w:val="Hyperlink"/>
          </w:rPr>
          <w:t>Riskbedömning</w:t>
        </w:r>
        <w:r>
          <w:rPr>
            <w:webHidden/>
          </w:rPr>
          <w:tab/>
        </w:r>
        <w:r>
          <w:rPr>
            <w:webHidden/>
          </w:rPr>
          <w:fldChar w:fldCharType="begin"/>
        </w:r>
        <w:r>
          <w:rPr>
            <w:webHidden/>
          </w:rPr>
          <w:instrText xml:space="preserve"> PAGEREF _Toc438114542 \h </w:instrText>
        </w:r>
        <w:r>
          <w:rPr>
            <w:webHidden/>
          </w:rPr>
        </w:r>
        <w:r>
          <w:rPr>
            <w:webHidden/>
          </w:rPr>
          <w:fldChar w:fldCharType="separate"/>
        </w:r>
        <w:r>
          <w:rPr>
            <w:webHidden/>
          </w:rPr>
          <w:t>10</w:t>
        </w:r>
        <w:r>
          <w:rPr>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43" w:history="1">
        <w:r w:rsidRPr="00DD7417">
          <w:rPr>
            <w:rStyle w:val="Hyperlink"/>
            <w:rFonts w:ascii="Verdana" w:hAnsi="Verdana"/>
            <w:noProof/>
          </w:rPr>
          <w:t>7.1.</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EBB har bedömt att följande inkommande material ska omfattas av en riskbedömning av säkerheten i foderkedjan</w:t>
        </w:r>
        <w:r>
          <w:rPr>
            <w:noProof/>
            <w:webHidden/>
          </w:rPr>
          <w:tab/>
        </w:r>
        <w:r>
          <w:rPr>
            <w:noProof/>
            <w:webHidden/>
          </w:rPr>
          <w:fldChar w:fldCharType="begin"/>
        </w:r>
        <w:r>
          <w:rPr>
            <w:noProof/>
            <w:webHidden/>
          </w:rPr>
          <w:instrText xml:space="preserve"> PAGEREF _Toc438114543 \h </w:instrText>
        </w:r>
        <w:r>
          <w:rPr>
            <w:noProof/>
            <w:webHidden/>
          </w:rPr>
        </w:r>
        <w:r>
          <w:rPr>
            <w:noProof/>
            <w:webHidden/>
          </w:rPr>
          <w:fldChar w:fldCharType="separate"/>
        </w:r>
        <w:r>
          <w:rPr>
            <w:noProof/>
            <w:webHidden/>
          </w:rPr>
          <w:t>10</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44" w:history="1">
        <w:r w:rsidRPr="00DD7417">
          <w:rPr>
            <w:rStyle w:val="Hyperlink"/>
            <w:noProof/>
          </w:rPr>
          <w:t>7.2.</w:t>
        </w:r>
        <w:r>
          <w:rPr>
            <w:rFonts w:asciiTheme="minorHAnsi" w:eastAsiaTheme="minorEastAsia" w:hAnsiTheme="minorHAnsi" w:cstheme="minorBidi"/>
            <w:noProof/>
            <w:sz w:val="22"/>
            <w:szCs w:val="22"/>
            <w:lang w:val="en-GB" w:eastAsia="en-GB" w:bidi="ar-SA"/>
          </w:rPr>
          <w:tab/>
        </w:r>
        <w:r w:rsidRPr="00DD7417">
          <w:rPr>
            <w:rStyle w:val="Hyperlink"/>
            <w:noProof/>
          </w:rPr>
          <w:t>Sammanfattning av den riskbaserade strategin för biodieselsektorn</w:t>
        </w:r>
        <w:r>
          <w:rPr>
            <w:noProof/>
            <w:webHidden/>
          </w:rPr>
          <w:tab/>
        </w:r>
        <w:r>
          <w:rPr>
            <w:noProof/>
            <w:webHidden/>
          </w:rPr>
          <w:fldChar w:fldCharType="begin"/>
        </w:r>
        <w:r>
          <w:rPr>
            <w:noProof/>
            <w:webHidden/>
          </w:rPr>
          <w:instrText xml:space="preserve"> PAGEREF _Toc438114544 \h </w:instrText>
        </w:r>
        <w:r>
          <w:rPr>
            <w:noProof/>
            <w:webHidden/>
          </w:rPr>
        </w:r>
        <w:r>
          <w:rPr>
            <w:noProof/>
            <w:webHidden/>
          </w:rPr>
          <w:fldChar w:fldCharType="separate"/>
        </w:r>
        <w:r>
          <w:rPr>
            <w:noProof/>
            <w:webHidden/>
          </w:rPr>
          <w:t>10</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45" w:history="1">
        <w:r w:rsidRPr="00DD7417">
          <w:rPr>
            <w:rStyle w:val="Hyperlink"/>
            <w:noProof/>
          </w:rPr>
          <w:t>7.3.</w:t>
        </w:r>
        <w:r>
          <w:rPr>
            <w:rFonts w:asciiTheme="minorHAnsi" w:eastAsiaTheme="minorEastAsia" w:hAnsiTheme="minorHAnsi" w:cstheme="minorBidi"/>
            <w:noProof/>
            <w:sz w:val="22"/>
            <w:szCs w:val="22"/>
            <w:lang w:val="en-GB" w:eastAsia="en-GB" w:bidi="ar-SA"/>
          </w:rPr>
          <w:tab/>
        </w:r>
        <w:r w:rsidRPr="00DD7417">
          <w:rPr>
            <w:rStyle w:val="Hyperlink"/>
            <w:noProof/>
          </w:rPr>
          <w:t>Riskbaserad strategi för karakterisering av faror för foderråvaror som kommer från biodieselproduktion</w:t>
        </w:r>
        <w:r>
          <w:rPr>
            <w:noProof/>
            <w:webHidden/>
          </w:rPr>
          <w:tab/>
        </w:r>
        <w:r>
          <w:rPr>
            <w:noProof/>
            <w:webHidden/>
          </w:rPr>
          <w:fldChar w:fldCharType="begin"/>
        </w:r>
        <w:r>
          <w:rPr>
            <w:noProof/>
            <w:webHidden/>
          </w:rPr>
          <w:instrText xml:space="preserve"> PAGEREF _Toc438114545 \h </w:instrText>
        </w:r>
        <w:r>
          <w:rPr>
            <w:noProof/>
            <w:webHidden/>
          </w:rPr>
        </w:r>
        <w:r>
          <w:rPr>
            <w:noProof/>
            <w:webHidden/>
          </w:rPr>
          <w:fldChar w:fldCharType="separate"/>
        </w:r>
        <w:r>
          <w:rPr>
            <w:noProof/>
            <w:webHidden/>
          </w:rPr>
          <w:t>11</w:t>
        </w:r>
        <w:r>
          <w:rPr>
            <w:noProof/>
            <w:webHidden/>
          </w:rPr>
          <w:fldChar w:fldCharType="end"/>
        </w:r>
      </w:hyperlink>
    </w:p>
    <w:p w:rsidR="009D7C0A" w:rsidRDefault="009D7C0A">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114546" w:history="1">
        <w:r w:rsidRPr="00DD7417">
          <w:rPr>
            <w:rStyle w:val="Hyperlink"/>
            <w:rFonts w:ascii="Verdana" w:hAnsi="Verdana"/>
            <w:noProof/>
          </w:rPr>
          <w:t>7.4.</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Hur man genomför en riskbedömning</w:t>
        </w:r>
        <w:r>
          <w:rPr>
            <w:noProof/>
            <w:webHidden/>
          </w:rPr>
          <w:tab/>
        </w:r>
        <w:r>
          <w:rPr>
            <w:noProof/>
            <w:webHidden/>
          </w:rPr>
          <w:fldChar w:fldCharType="begin"/>
        </w:r>
        <w:r>
          <w:rPr>
            <w:noProof/>
            <w:webHidden/>
          </w:rPr>
          <w:instrText xml:space="preserve"> PAGEREF _Toc438114546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47" w:history="1">
        <w:r w:rsidRPr="00DD7417">
          <w:rPr>
            <w:rStyle w:val="Hyperlink"/>
            <w:noProof/>
          </w:rPr>
          <w:t>7.4.1.</w:t>
        </w:r>
        <w:r>
          <w:rPr>
            <w:rFonts w:asciiTheme="minorHAnsi" w:eastAsiaTheme="minorEastAsia" w:hAnsiTheme="minorHAnsi" w:cstheme="minorBidi"/>
            <w:noProof/>
            <w:sz w:val="22"/>
            <w:szCs w:val="22"/>
            <w:lang w:val="en-GB" w:eastAsia="en-GB" w:bidi="ar-SA"/>
          </w:rPr>
          <w:tab/>
        </w:r>
        <w:r w:rsidRPr="00DD7417">
          <w:rPr>
            <w:rStyle w:val="Hyperlink"/>
            <w:noProof/>
          </w:rPr>
          <w:t>Biodieselprocessen: EBB har utarbetat ett flödesschema som täcker alla faser i biodieselproduktionen, från transport och mottagning av råmaterial, lagring, tillsättning av processhjälpmedel, separation av ämnen efter transesterifieringen, tvätt, ytterligare raffinering av glycerin till slutprodukterna biodiesel och rå glycerin som foderråvara, lagring och transport.</w:t>
        </w:r>
        <w:r>
          <w:rPr>
            <w:noProof/>
            <w:webHidden/>
          </w:rPr>
          <w:tab/>
        </w:r>
        <w:r>
          <w:rPr>
            <w:noProof/>
            <w:webHidden/>
          </w:rPr>
          <w:fldChar w:fldCharType="begin"/>
        </w:r>
        <w:r>
          <w:rPr>
            <w:noProof/>
            <w:webHidden/>
          </w:rPr>
          <w:instrText xml:space="preserve"> PAGEREF _Toc438114547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48" w:history="1">
        <w:r w:rsidRPr="00DD7417">
          <w:rPr>
            <w:rStyle w:val="Hyperlink"/>
            <w:rFonts w:ascii="Verdana" w:hAnsi="Verdana"/>
            <w:noProof/>
          </w:rPr>
          <w:t>7.4.2.</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Processtegen: Hjälpmedelsrelaterade faror har beskrivits. En fara för säkerheten är en biologisk (B), kemisk (C) eller fysisk (P) agens i en produkt eller ett produkttillstånd som gör att produkten kan skada människors eller djurs hälsa.</w:t>
        </w:r>
        <w:r>
          <w:rPr>
            <w:noProof/>
            <w:webHidden/>
          </w:rPr>
          <w:tab/>
        </w:r>
        <w:r>
          <w:rPr>
            <w:noProof/>
            <w:webHidden/>
          </w:rPr>
          <w:fldChar w:fldCharType="begin"/>
        </w:r>
        <w:r>
          <w:rPr>
            <w:noProof/>
            <w:webHidden/>
          </w:rPr>
          <w:instrText xml:space="preserve"> PAGEREF _Toc438114548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49" w:history="1">
        <w:r w:rsidRPr="00DD7417">
          <w:rPr>
            <w:rStyle w:val="Hyperlink"/>
            <w:rFonts w:ascii="Verdana" w:hAnsi="Verdana"/>
            <w:noProof/>
          </w:rPr>
          <w:t>7.4.3.</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En riskbedömning har gjorts för faror inom de delar av kedjan som har direkt samband med EBB-medlemmarnas företagsverksamhet inom ramen för produktionsprocessen.</w:t>
        </w:r>
        <w:r>
          <w:rPr>
            <w:noProof/>
            <w:webHidden/>
          </w:rPr>
          <w:tab/>
        </w:r>
        <w:r>
          <w:rPr>
            <w:noProof/>
            <w:webHidden/>
          </w:rPr>
          <w:fldChar w:fldCharType="begin"/>
        </w:r>
        <w:r>
          <w:rPr>
            <w:noProof/>
            <w:webHidden/>
          </w:rPr>
          <w:instrText xml:space="preserve"> PAGEREF _Toc438114549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50" w:history="1">
        <w:r w:rsidRPr="00DD7417">
          <w:rPr>
            <w:rStyle w:val="Hyperlink"/>
            <w:rFonts w:ascii="Verdana" w:hAnsi="Verdana"/>
            <w:noProof/>
          </w:rPr>
          <w:t>7.4.4.</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Som tidigare påpekats ska riskerna inte betraktas som fullständigt beskrivna och de kan variera mellan olika biodieselproducenter beroende på individuella och specifika produktionsförutsättningar.</w:t>
        </w:r>
        <w:r>
          <w:rPr>
            <w:noProof/>
            <w:webHidden/>
          </w:rPr>
          <w:tab/>
        </w:r>
        <w:r>
          <w:rPr>
            <w:noProof/>
            <w:webHidden/>
          </w:rPr>
          <w:fldChar w:fldCharType="begin"/>
        </w:r>
        <w:r>
          <w:rPr>
            <w:noProof/>
            <w:webHidden/>
          </w:rPr>
          <w:instrText xml:space="preserve"> PAGEREF _Toc438114550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51" w:history="1">
        <w:r w:rsidRPr="00DD7417">
          <w:rPr>
            <w:rStyle w:val="Hyperlink"/>
            <w:rFonts w:ascii="Verdana" w:hAnsi="Verdana"/>
            <w:noProof/>
          </w:rPr>
          <w:t>I tabellerna anges heller inga styrbara grundförutsättningar (OPRP) eller kritiska styrpunkter (CCP), eftersom det beslut som leder fram till fastställandet av OPRP och CCP ska vara grundat på de verkliga förhållandena i varje enskild anläggning eller processlinje.</w:t>
        </w:r>
        <w:r>
          <w:rPr>
            <w:noProof/>
            <w:webHidden/>
          </w:rPr>
          <w:tab/>
        </w:r>
        <w:r>
          <w:rPr>
            <w:noProof/>
            <w:webHidden/>
          </w:rPr>
          <w:fldChar w:fldCharType="begin"/>
        </w:r>
        <w:r>
          <w:rPr>
            <w:noProof/>
            <w:webHidden/>
          </w:rPr>
          <w:instrText xml:space="preserve"> PAGEREF _Toc438114551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52" w:history="1">
        <w:r w:rsidRPr="00DD7417">
          <w:rPr>
            <w:rStyle w:val="Hyperlink"/>
            <w:rFonts w:ascii="Verdana" w:hAnsi="Verdana"/>
            <w:noProof/>
          </w:rPr>
          <w:t>7.4.5.</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EBB har angett motiv för riskbedömningen.</w:t>
        </w:r>
        <w:r>
          <w:rPr>
            <w:noProof/>
            <w:webHidden/>
          </w:rPr>
          <w:tab/>
        </w:r>
        <w:r>
          <w:rPr>
            <w:noProof/>
            <w:webHidden/>
          </w:rPr>
          <w:fldChar w:fldCharType="begin"/>
        </w:r>
        <w:r>
          <w:rPr>
            <w:noProof/>
            <w:webHidden/>
          </w:rPr>
          <w:instrText xml:space="preserve"> PAGEREF _Toc438114552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3"/>
        <w:rPr>
          <w:rFonts w:asciiTheme="minorHAnsi" w:eastAsiaTheme="minorEastAsia" w:hAnsiTheme="minorHAnsi" w:cstheme="minorBidi"/>
          <w:noProof/>
          <w:sz w:val="22"/>
          <w:szCs w:val="22"/>
          <w:lang w:val="en-GB" w:eastAsia="en-GB" w:bidi="ar-SA"/>
        </w:rPr>
      </w:pPr>
      <w:hyperlink w:anchor="_Toc438114553" w:history="1">
        <w:r w:rsidRPr="00DD7417">
          <w:rPr>
            <w:rStyle w:val="Hyperlink"/>
            <w:rFonts w:ascii="Verdana" w:hAnsi="Verdana"/>
            <w:noProof/>
          </w:rPr>
          <w:t>7.4.6.</w:t>
        </w:r>
        <w:r>
          <w:rPr>
            <w:rFonts w:asciiTheme="minorHAnsi" w:eastAsiaTheme="minorEastAsia" w:hAnsiTheme="minorHAnsi" w:cstheme="minorBidi"/>
            <w:noProof/>
            <w:sz w:val="22"/>
            <w:szCs w:val="22"/>
            <w:lang w:val="en-GB" w:eastAsia="en-GB" w:bidi="ar-SA"/>
          </w:rPr>
          <w:tab/>
        </w:r>
        <w:r w:rsidRPr="00DD7417">
          <w:rPr>
            <w:rStyle w:val="Hyperlink"/>
            <w:rFonts w:ascii="Verdana" w:hAnsi="Verdana"/>
            <w:noProof/>
          </w:rPr>
          <w:t>EBB har kontrollerat om det finns normer i EU-lagstiftningen eller handelsnormer som anger gränsvärden för de olika farorna och förtecknat dessa, i förekommande fall.</w:t>
        </w:r>
        <w:r>
          <w:rPr>
            <w:noProof/>
            <w:webHidden/>
          </w:rPr>
          <w:tab/>
        </w:r>
        <w:r>
          <w:rPr>
            <w:noProof/>
            <w:webHidden/>
          </w:rPr>
          <w:fldChar w:fldCharType="begin"/>
        </w:r>
        <w:r>
          <w:rPr>
            <w:noProof/>
            <w:webHidden/>
          </w:rPr>
          <w:instrText xml:space="preserve"> PAGEREF _Toc438114553 \h </w:instrText>
        </w:r>
        <w:r>
          <w:rPr>
            <w:noProof/>
            <w:webHidden/>
          </w:rPr>
        </w:r>
        <w:r>
          <w:rPr>
            <w:noProof/>
            <w:webHidden/>
          </w:rPr>
          <w:fldChar w:fldCharType="separate"/>
        </w:r>
        <w:r>
          <w:rPr>
            <w:noProof/>
            <w:webHidden/>
          </w:rPr>
          <w:t>12</w:t>
        </w:r>
        <w:r>
          <w:rPr>
            <w:noProof/>
            <w:webHidden/>
          </w:rPr>
          <w:fldChar w:fldCharType="end"/>
        </w:r>
      </w:hyperlink>
    </w:p>
    <w:p w:rsidR="009D7C0A" w:rsidRDefault="009D7C0A">
      <w:pPr>
        <w:pStyle w:val="TOC1"/>
        <w:rPr>
          <w:rFonts w:asciiTheme="minorHAnsi" w:eastAsiaTheme="minorEastAsia" w:hAnsiTheme="minorHAnsi" w:cstheme="minorBidi"/>
          <w:b w:val="0"/>
          <w:sz w:val="22"/>
          <w:szCs w:val="22"/>
          <w:lang w:val="en-GB" w:eastAsia="en-GB" w:bidi="ar-SA"/>
        </w:rPr>
      </w:pPr>
      <w:hyperlink w:anchor="_Toc438114554" w:history="1">
        <w:r w:rsidRPr="00DD7417">
          <w:rPr>
            <w:rStyle w:val="Hyperlink"/>
          </w:rPr>
          <w:t>8. Riskbaserad strategi för glycerin</w:t>
        </w:r>
        <w:r>
          <w:rPr>
            <w:webHidden/>
          </w:rPr>
          <w:tab/>
        </w:r>
        <w:r>
          <w:rPr>
            <w:webHidden/>
          </w:rPr>
          <w:fldChar w:fldCharType="begin"/>
        </w:r>
        <w:r>
          <w:rPr>
            <w:webHidden/>
          </w:rPr>
          <w:instrText xml:space="preserve"> PAGEREF _Toc438114554 \h </w:instrText>
        </w:r>
        <w:r>
          <w:rPr>
            <w:webHidden/>
          </w:rPr>
        </w:r>
        <w:r>
          <w:rPr>
            <w:webHidden/>
          </w:rPr>
          <w:fldChar w:fldCharType="separate"/>
        </w:r>
        <w:r>
          <w:rPr>
            <w:webHidden/>
          </w:rPr>
          <w:t>13</w:t>
        </w:r>
        <w:r>
          <w:rPr>
            <w:webHidden/>
          </w:rPr>
          <w:fldChar w:fldCharType="end"/>
        </w:r>
      </w:hyperlink>
    </w:p>
    <w:p w:rsidR="009D7C0A" w:rsidRDefault="009D7C0A">
      <w:pPr>
        <w:pStyle w:val="TOC1"/>
        <w:rPr>
          <w:rFonts w:asciiTheme="minorHAnsi" w:eastAsiaTheme="minorEastAsia" w:hAnsiTheme="minorHAnsi" w:cstheme="minorBidi"/>
          <w:b w:val="0"/>
          <w:sz w:val="22"/>
          <w:szCs w:val="22"/>
          <w:lang w:val="en-GB" w:eastAsia="en-GB" w:bidi="ar-SA"/>
        </w:rPr>
      </w:pPr>
      <w:hyperlink w:anchor="_Toc438114555" w:history="1">
        <w:r w:rsidRPr="00DD7417">
          <w:rPr>
            <w:rStyle w:val="Hyperlink"/>
          </w:rPr>
          <w:t>9. Minimikrav för övervakning</w:t>
        </w:r>
        <w:r>
          <w:rPr>
            <w:webHidden/>
          </w:rPr>
          <w:tab/>
        </w:r>
        <w:r>
          <w:rPr>
            <w:webHidden/>
          </w:rPr>
          <w:fldChar w:fldCharType="begin"/>
        </w:r>
        <w:r>
          <w:rPr>
            <w:webHidden/>
          </w:rPr>
          <w:instrText xml:space="preserve"> PAGEREF _Toc438114555 \h </w:instrText>
        </w:r>
        <w:r>
          <w:rPr>
            <w:webHidden/>
          </w:rPr>
        </w:r>
        <w:r>
          <w:rPr>
            <w:webHidden/>
          </w:rPr>
          <w:fldChar w:fldCharType="separate"/>
        </w:r>
        <w:r>
          <w:rPr>
            <w:webHidden/>
          </w:rPr>
          <w:t>24</w:t>
        </w:r>
        <w:r>
          <w:rPr>
            <w:webHidden/>
          </w:rPr>
          <w:fldChar w:fldCharType="end"/>
        </w:r>
      </w:hyperlink>
    </w:p>
    <w:p w:rsidR="004831A2" w:rsidRPr="00360F70" w:rsidRDefault="007C363B" w:rsidP="004831A2">
      <w:pPr>
        <w:pStyle w:val="TOC1"/>
        <w:rPr>
          <w:rFonts w:eastAsiaTheme="minorEastAsia" w:cstheme="minorBidi"/>
          <w:sz w:val="22"/>
          <w:szCs w:val="22"/>
        </w:rPr>
      </w:pPr>
      <w:r w:rsidRPr="00360F70">
        <w:fldChar w:fldCharType="end"/>
      </w:r>
    </w:p>
    <w:p w:rsidR="00CC33EE" w:rsidRPr="00360F70" w:rsidRDefault="00BD667B" w:rsidP="005A0AC9">
      <w:pPr>
        <w:rPr>
          <w:rFonts w:ascii="Verdana" w:hAnsi="Verdana"/>
        </w:rPr>
      </w:pPr>
      <w:r w:rsidRPr="00360F70">
        <w:br w:type="page"/>
      </w:r>
    </w:p>
    <w:p w:rsidR="0033448F" w:rsidRPr="00360F70" w:rsidRDefault="00FA37B8" w:rsidP="00DD7B4B">
      <w:pPr>
        <w:pStyle w:val="Heading1"/>
        <w:tabs>
          <w:tab w:val="clear" w:pos="432"/>
          <w:tab w:val="num" w:pos="420"/>
        </w:tabs>
        <w:rPr>
          <w:rFonts w:ascii="Verdana" w:hAnsi="Verdana"/>
        </w:rPr>
      </w:pPr>
      <w:bookmarkStart w:id="2" w:name="_Toc354998606"/>
      <w:bookmarkStart w:id="3" w:name="_Toc438114531"/>
      <w:r w:rsidRPr="00360F70">
        <w:rPr>
          <w:rFonts w:ascii="Verdana" w:hAnsi="Verdana"/>
        </w:rPr>
        <w:lastRenderedPageBreak/>
        <w:t>Förteckning över foderråvaror</w:t>
      </w:r>
      <w:bookmarkEnd w:id="2"/>
      <w:bookmarkEnd w:id="3"/>
    </w:p>
    <w:p w:rsidR="00FA37B8" w:rsidRPr="00360F70" w:rsidRDefault="00FA37B8" w:rsidP="00FA37B8">
      <w:pPr>
        <w:rPr>
          <w:rFonts w:ascii="Verdana" w:hAnsi="Verdana"/>
        </w:rPr>
      </w:pPr>
    </w:p>
    <w:p w:rsidR="00FA37B8" w:rsidRPr="00360F70" w:rsidRDefault="00FA37B8" w:rsidP="00550C20">
      <w:pPr>
        <w:jc w:val="both"/>
        <w:rPr>
          <w:rFonts w:ascii="Verdana" w:hAnsi="Verdana" w:cs="Tahoma"/>
          <w:szCs w:val="20"/>
        </w:rPr>
      </w:pPr>
      <w:r w:rsidRPr="00360F70">
        <w:rPr>
          <w:rFonts w:ascii="Verdana" w:hAnsi="Verdana"/>
        </w:rPr>
        <w:t>De huvudsakliga råvaror som bearbetas i EU:s biodieselindustri är rapsolja, sojaolja, solrosolja och palmolja i kombination med metanol.</w:t>
      </w:r>
    </w:p>
    <w:p w:rsidR="00F9433E" w:rsidRPr="00360F70" w:rsidRDefault="00F9433E" w:rsidP="00550C20">
      <w:pPr>
        <w:jc w:val="both"/>
        <w:rPr>
          <w:rFonts w:ascii="Verdana" w:hAnsi="Verdana" w:cs="Tahoma"/>
          <w:szCs w:val="20"/>
        </w:rPr>
      </w:pPr>
    </w:p>
    <w:p w:rsidR="00F9433E" w:rsidRPr="00360F70" w:rsidRDefault="00F9433E" w:rsidP="00550C20">
      <w:pPr>
        <w:pStyle w:val="Default"/>
        <w:jc w:val="both"/>
        <w:rPr>
          <w:rFonts w:ascii="Verdana" w:hAnsi="Verdana" w:cs="Tahoma"/>
          <w:sz w:val="20"/>
          <w:szCs w:val="20"/>
        </w:rPr>
      </w:pPr>
      <w:r w:rsidRPr="00360F70">
        <w:rPr>
          <w:rFonts w:ascii="Verdana" w:hAnsi="Verdana"/>
          <w:sz w:val="20"/>
        </w:rPr>
        <w:t>Med Europeiska unionens förteckning över foderråvaror skapas ett gemensamt system i EU för beskrivning och märkning av foderråvaror. För varje förtecknad foderråvara innefattar foderförteckningen produktens benämning, ett identifikationsnummer, den beskrivning av fodret med information om tillverkningsprocessen samt de märkningsuppgifter som ersätter den obligatoriska deklarationen enligt artikel 16.1 b i förordning (EG) nr 767/2009.</w:t>
      </w:r>
    </w:p>
    <w:p w:rsidR="00F9433E" w:rsidRPr="00360F70" w:rsidRDefault="00F9433E" w:rsidP="00F9433E">
      <w:pPr>
        <w:pStyle w:val="Default"/>
        <w:jc w:val="both"/>
        <w:rPr>
          <w:rFonts w:ascii="Verdana" w:hAnsi="Verdana" w:cs="Tahoma"/>
          <w:sz w:val="20"/>
          <w:szCs w:val="20"/>
        </w:rPr>
      </w:pPr>
    </w:p>
    <w:p w:rsidR="00F9433E" w:rsidRPr="00360F70" w:rsidRDefault="00F9433E" w:rsidP="00F9433E">
      <w:pPr>
        <w:pStyle w:val="Default"/>
        <w:jc w:val="both"/>
        <w:rPr>
          <w:rFonts w:ascii="Verdana" w:hAnsi="Verdana" w:cs="Tahoma"/>
          <w:sz w:val="20"/>
          <w:szCs w:val="20"/>
        </w:rPr>
      </w:pPr>
      <w:r w:rsidRPr="00360F70">
        <w:rPr>
          <w:rFonts w:ascii="Verdana" w:hAnsi="Verdana"/>
          <w:sz w:val="20"/>
        </w:rPr>
        <w:t>Nedan följer information om de biodieselrelaterade foderråvaror som är förtecknade i förordning (EU) nr 68/2013 (anpassade för vegetabiliskt ursprung):</w:t>
      </w:r>
    </w:p>
    <w:tbl>
      <w:tblPr>
        <w:tblStyle w:val="TableGrid"/>
        <w:tblW w:w="0" w:type="auto"/>
        <w:tblLook w:val="04A0" w:firstRow="1" w:lastRow="0" w:firstColumn="1" w:lastColumn="0" w:noHBand="0" w:noVBand="1"/>
      </w:tblPr>
      <w:tblGrid>
        <w:gridCol w:w="1951"/>
        <w:gridCol w:w="992"/>
        <w:gridCol w:w="6111"/>
      </w:tblGrid>
      <w:tr w:rsidR="001C3A68" w:rsidRPr="00360F70" w:rsidTr="001C3A68">
        <w:tc>
          <w:tcPr>
            <w:tcW w:w="1951" w:type="dxa"/>
          </w:tcPr>
          <w:p w:rsidR="001C3A68" w:rsidRPr="00360F70" w:rsidRDefault="001C3A68" w:rsidP="001C3A68">
            <w:pPr>
              <w:jc w:val="both"/>
              <w:rPr>
                <w:rFonts w:ascii="Verdana" w:hAnsi="Verdana" w:cs="Tahoma"/>
                <w:szCs w:val="20"/>
              </w:rPr>
            </w:pPr>
            <w:r w:rsidRPr="00360F70">
              <w:rPr>
                <w:rFonts w:ascii="Verdana" w:hAnsi="Verdana"/>
              </w:rPr>
              <w:t>Rå glycerin</w:t>
            </w:r>
          </w:p>
          <w:p w:rsidR="001C3A68" w:rsidRPr="00360F70" w:rsidRDefault="001C3A68" w:rsidP="00550C20">
            <w:pPr>
              <w:jc w:val="both"/>
              <w:rPr>
                <w:rFonts w:ascii="Verdana" w:hAnsi="Verdana" w:cs="Tahoma"/>
                <w:szCs w:val="20"/>
              </w:rPr>
            </w:pPr>
          </w:p>
        </w:tc>
        <w:tc>
          <w:tcPr>
            <w:tcW w:w="992" w:type="dxa"/>
          </w:tcPr>
          <w:p w:rsidR="001C3A68" w:rsidRPr="00360F70" w:rsidRDefault="001C3A68" w:rsidP="00550C20">
            <w:pPr>
              <w:jc w:val="both"/>
              <w:rPr>
                <w:rFonts w:ascii="Verdana" w:hAnsi="Verdana" w:cs="Tahoma"/>
                <w:szCs w:val="20"/>
              </w:rPr>
            </w:pPr>
            <w:proofErr w:type="gramStart"/>
            <w:r w:rsidRPr="00360F70">
              <w:rPr>
                <w:rFonts w:ascii="Verdana" w:hAnsi="Verdana"/>
              </w:rPr>
              <w:t>13.8.1</w:t>
            </w:r>
            <w:proofErr w:type="gramEnd"/>
          </w:p>
        </w:tc>
        <w:tc>
          <w:tcPr>
            <w:tcW w:w="6111" w:type="dxa"/>
          </w:tcPr>
          <w:p w:rsidR="001C3A68" w:rsidRPr="00360F70" w:rsidRDefault="001C3A68" w:rsidP="00800E2C">
            <w:pPr>
              <w:widowControl w:val="0"/>
              <w:autoSpaceDE w:val="0"/>
              <w:autoSpaceDN w:val="0"/>
              <w:adjustRightInd w:val="0"/>
              <w:ind w:left="84"/>
              <w:jc w:val="both"/>
              <w:rPr>
                <w:rFonts w:ascii="Verdana" w:hAnsi="Verdana"/>
                <w:szCs w:val="20"/>
              </w:rPr>
            </w:pPr>
            <w:r w:rsidRPr="00360F70">
              <w:rPr>
                <w:rFonts w:ascii="Verdana" w:hAnsi="Verdana"/>
              </w:rPr>
              <w:t>Biprodukt som erhålls från:</w:t>
            </w:r>
          </w:p>
          <w:p w:rsidR="001C3A68" w:rsidRPr="00360F70" w:rsidRDefault="001C3A68" w:rsidP="00151ACA">
            <w:pPr>
              <w:widowControl w:val="0"/>
              <w:autoSpaceDE w:val="0"/>
              <w:autoSpaceDN w:val="0"/>
              <w:adjustRightInd w:val="0"/>
              <w:spacing w:before="85" w:line="235" w:lineRule="auto"/>
              <w:ind w:left="331" w:right="53" w:hanging="247"/>
              <w:jc w:val="both"/>
              <w:rPr>
                <w:rFonts w:ascii="Verdana" w:hAnsi="Verdana"/>
                <w:szCs w:val="20"/>
              </w:rPr>
            </w:pPr>
            <w:proofErr w:type="gramStart"/>
            <w:r w:rsidRPr="00360F70">
              <w:rPr>
                <w:rFonts w:ascii="Verdana" w:hAnsi="Verdana"/>
              </w:rPr>
              <w:t>—</w:t>
            </w:r>
            <w:proofErr w:type="gramEnd"/>
            <w:r w:rsidRPr="00360F70">
              <w:rPr>
                <w:rFonts w:ascii="Verdana" w:hAnsi="Verdana"/>
              </w:rPr>
              <w:t xml:space="preserve"> </w:t>
            </w:r>
            <w:proofErr w:type="spellStart"/>
            <w:r w:rsidRPr="00360F70">
              <w:rPr>
                <w:rFonts w:ascii="Verdana" w:hAnsi="Verdana"/>
              </w:rPr>
              <w:t>oleokemisk</w:t>
            </w:r>
            <w:proofErr w:type="spellEnd"/>
            <w:r w:rsidRPr="00360F70">
              <w:rPr>
                <w:rFonts w:ascii="Verdana" w:hAnsi="Verdana"/>
              </w:rPr>
              <w:t xml:space="preserve"> bearbetning av spaltning av olja/fett för att åstadkomma fettsyror och sötvatten, följt av koncentration av sötvattnet för att åstadkomma rå glycerol eller genom </w:t>
            </w:r>
            <w:proofErr w:type="spellStart"/>
            <w:r w:rsidRPr="00360F70">
              <w:rPr>
                <w:rFonts w:ascii="Verdana" w:hAnsi="Verdana"/>
              </w:rPr>
              <w:t>transesterifiering</w:t>
            </w:r>
            <w:proofErr w:type="spellEnd"/>
            <w:r w:rsidRPr="00360F70">
              <w:rPr>
                <w:rFonts w:ascii="Verdana" w:hAnsi="Verdana"/>
              </w:rPr>
              <w:t xml:space="preserve"> (kan innehålla upp till 0,5 % metanol) av naturliga oljor/fetter för att åstadkomma metylestrar av fettsyror och sötvatten, följt av koncentration av sötvattnet för att åstadkomma rå glycerol,</w:t>
            </w:r>
          </w:p>
          <w:p w:rsidR="001C3A68" w:rsidRPr="00360F70" w:rsidRDefault="001C3A68" w:rsidP="00800E2C">
            <w:pPr>
              <w:widowControl w:val="0"/>
              <w:autoSpaceDE w:val="0"/>
              <w:autoSpaceDN w:val="0"/>
              <w:adjustRightInd w:val="0"/>
              <w:spacing w:before="84" w:line="235" w:lineRule="auto"/>
              <w:ind w:left="331" w:right="53" w:hanging="247"/>
              <w:jc w:val="both"/>
              <w:rPr>
                <w:rFonts w:ascii="Verdana" w:hAnsi="Verdana"/>
                <w:szCs w:val="20"/>
              </w:rPr>
            </w:pPr>
            <w:proofErr w:type="gramStart"/>
            <w:r w:rsidRPr="00360F70">
              <w:rPr>
                <w:rFonts w:ascii="Verdana" w:hAnsi="Verdana"/>
              </w:rPr>
              <w:t>—</w:t>
            </w:r>
            <w:proofErr w:type="gramEnd"/>
            <w:r w:rsidRPr="00360F70">
              <w:rPr>
                <w:rFonts w:ascii="Verdana" w:hAnsi="Verdana"/>
              </w:rPr>
              <w:t xml:space="preserve"> framställning av biodiesel (metyl- eller etylestrar av fettsyror), erhållen genom </w:t>
            </w:r>
            <w:proofErr w:type="spellStart"/>
            <w:r w:rsidRPr="00360F70">
              <w:rPr>
                <w:rFonts w:ascii="Verdana" w:hAnsi="Verdana"/>
              </w:rPr>
              <w:t>transesterifiering</w:t>
            </w:r>
            <w:proofErr w:type="spellEnd"/>
            <w:r w:rsidRPr="00360F70">
              <w:rPr>
                <w:rFonts w:ascii="Verdana" w:hAnsi="Verdana"/>
              </w:rPr>
              <w:t xml:space="preserve"> av oljor och fetter av ospecificerat vegetabiliskt och animaliskt ursprung; mineralsalter och organiska salter kan finnas kvar i glycerinen (upp till 7,5 %);</w:t>
            </w:r>
          </w:p>
          <w:p w:rsidR="001C3A68" w:rsidRPr="00360F70" w:rsidRDefault="001C3A68" w:rsidP="00151ACA">
            <w:pPr>
              <w:widowControl w:val="0"/>
              <w:autoSpaceDE w:val="0"/>
              <w:autoSpaceDN w:val="0"/>
              <w:adjustRightInd w:val="0"/>
              <w:spacing w:before="83"/>
              <w:ind w:left="84"/>
              <w:jc w:val="both"/>
              <w:rPr>
                <w:rFonts w:ascii="Verdana" w:hAnsi="Verdana"/>
                <w:szCs w:val="20"/>
              </w:rPr>
            </w:pPr>
            <w:r w:rsidRPr="00360F70">
              <w:rPr>
                <w:rFonts w:ascii="Verdana" w:hAnsi="Verdana"/>
              </w:rPr>
              <w:t xml:space="preserve">kan innehålla upp till 0,5 % metanol och upp till 4 % organiskt material som ej är glycerin (MONG) som omfattar metylestrar av fettsyror, etylestrar av fettsyror, fria fettsyror och </w:t>
            </w:r>
            <w:proofErr w:type="spellStart"/>
            <w:r w:rsidRPr="00360F70">
              <w:rPr>
                <w:rFonts w:ascii="Verdana" w:hAnsi="Verdana"/>
              </w:rPr>
              <w:t>glycerider</w:t>
            </w:r>
            <w:proofErr w:type="spellEnd"/>
            <w:r w:rsidRPr="00360F70">
              <w:rPr>
                <w:rFonts w:ascii="Verdana" w:hAnsi="Verdana"/>
              </w:rPr>
              <w:t>,</w:t>
            </w:r>
          </w:p>
          <w:p w:rsidR="00151ACA" w:rsidRPr="00360F70" w:rsidRDefault="001C3A68" w:rsidP="00151ACA">
            <w:pPr>
              <w:widowControl w:val="0"/>
              <w:autoSpaceDE w:val="0"/>
              <w:autoSpaceDN w:val="0"/>
              <w:adjustRightInd w:val="0"/>
              <w:spacing w:before="84" w:line="235" w:lineRule="auto"/>
              <w:ind w:left="331" w:right="55" w:hanging="247"/>
              <w:jc w:val="both"/>
              <w:rPr>
                <w:rFonts w:ascii="Verdana" w:hAnsi="Verdana"/>
                <w:szCs w:val="20"/>
              </w:rPr>
            </w:pPr>
            <w:proofErr w:type="gramStart"/>
            <w:r w:rsidRPr="00360F70">
              <w:rPr>
                <w:rFonts w:ascii="Verdana" w:hAnsi="Verdana"/>
              </w:rPr>
              <w:t>—</w:t>
            </w:r>
            <w:proofErr w:type="gramEnd"/>
            <w:r w:rsidRPr="00360F70">
              <w:rPr>
                <w:rFonts w:ascii="Verdana" w:hAnsi="Verdana"/>
              </w:rPr>
              <w:t xml:space="preserve"> förtvålning av oljor/fetter av vegetabiliskt eller animaliskt ursprung, normalt med alkalier/alkaliska jordartsmetaller för att åstadkomma tvål;</w:t>
            </w:r>
          </w:p>
          <w:p w:rsidR="001C3A68" w:rsidRPr="00360F70" w:rsidRDefault="001C3A68" w:rsidP="00151ACA">
            <w:pPr>
              <w:widowControl w:val="0"/>
              <w:autoSpaceDE w:val="0"/>
              <w:autoSpaceDN w:val="0"/>
              <w:adjustRightInd w:val="0"/>
              <w:spacing w:before="84" w:line="235" w:lineRule="auto"/>
              <w:ind w:left="331" w:right="55" w:hanging="247"/>
              <w:jc w:val="both"/>
              <w:rPr>
                <w:rFonts w:ascii="Verdana" w:hAnsi="Verdana"/>
                <w:szCs w:val="20"/>
              </w:rPr>
            </w:pPr>
            <w:r w:rsidRPr="00360F70">
              <w:rPr>
                <w:rFonts w:ascii="Verdana" w:hAnsi="Verdana"/>
              </w:rPr>
              <w:t>får innehålla upp till 50 ppm nickel från hydrogenering.</w:t>
            </w:r>
          </w:p>
        </w:tc>
      </w:tr>
      <w:tr w:rsidR="001C3A68" w:rsidRPr="00360F70" w:rsidTr="001C3A68">
        <w:tc>
          <w:tcPr>
            <w:tcW w:w="1951" w:type="dxa"/>
          </w:tcPr>
          <w:p w:rsidR="001C3A68" w:rsidRPr="00360F70" w:rsidRDefault="001C3A68" w:rsidP="00550C20">
            <w:pPr>
              <w:jc w:val="both"/>
              <w:rPr>
                <w:rFonts w:ascii="Verdana" w:hAnsi="Verdana" w:cs="Tahoma"/>
                <w:szCs w:val="20"/>
              </w:rPr>
            </w:pPr>
            <w:r w:rsidRPr="00360F70">
              <w:rPr>
                <w:rFonts w:ascii="Verdana" w:hAnsi="Verdana"/>
              </w:rPr>
              <w:t>Glycerin</w:t>
            </w:r>
          </w:p>
        </w:tc>
        <w:tc>
          <w:tcPr>
            <w:tcW w:w="992" w:type="dxa"/>
          </w:tcPr>
          <w:p w:rsidR="001C3A68" w:rsidRPr="00360F70" w:rsidRDefault="001C3A68" w:rsidP="00550C20">
            <w:pPr>
              <w:jc w:val="both"/>
              <w:rPr>
                <w:rFonts w:ascii="Verdana" w:hAnsi="Verdana" w:cs="Tahoma"/>
                <w:szCs w:val="20"/>
              </w:rPr>
            </w:pPr>
            <w:proofErr w:type="gramStart"/>
            <w:r w:rsidRPr="00360F70">
              <w:rPr>
                <w:rFonts w:ascii="Verdana" w:hAnsi="Verdana"/>
              </w:rPr>
              <w:t>13.8.2</w:t>
            </w:r>
            <w:proofErr w:type="gramEnd"/>
          </w:p>
        </w:tc>
        <w:tc>
          <w:tcPr>
            <w:tcW w:w="6111" w:type="dxa"/>
          </w:tcPr>
          <w:p w:rsidR="001C3A68" w:rsidRPr="00360F70" w:rsidRDefault="001C3A68" w:rsidP="001C3A68">
            <w:pPr>
              <w:widowControl w:val="0"/>
              <w:autoSpaceDE w:val="0"/>
              <w:autoSpaceDN w:val="0"/>
              <w:adjustRightInd w:val="0"/>
              <w:ind w:left="84"/>
              <w:rPr>
                <w:rFonts w:ascii="Verdana" w:hAnsi="Verdana"/>
                <w:szCs w:val="20"/>
              </w:rPr>
            </w:pPr>
            <w:r w:rsidRPr="00360F70">
              <w:rPr>
                <w:rFonts w:ascii="Verdana" w:hAnsi="Verdana"/>
              </w:rPr>
              <w:t>Produkt som erhålls vid:</w:t>
            </w:r>
          </w:p>
          <w:p w:rsidR="001C3A68" w:rsidRPr="00360F70" w:rsidRDefault="001C3A68" w:rsidP="00800E2C">
            <w:pPr>
              <w:widowControl w:val="0"/>
              <w:autoSpaceDE w:val="0"/>
              <w:autoSpaceDN w:val="0"/>
              <w:adjustRightInd w:val="0"/>
              <w:spacing w:before="87" w:line="192" w:lineRule="exact"/>
              <w:ind w:left="331" w:right="53" w:hanging="247"/>
              <w:rPr>
                <w:rFonts w:ascii="Verdana" w:hAnsi="Verdana"/>
                <w:szCs w:val="20"/>
              </w:rPr>
            </w:pPr>
            <w:proofErr w:type="gramStart"/>
            <w:r w:rsidRPr="00360F70">
              <w:rPr>
                <w:rFonts w:ascii="Verdana" w:hAnsi="Verdana"/>
              </w:rPr>
              <w:t>—</w:t>
            </w:r>
            <w:proofErr w:type="gramEnd"/>
            <w:r w:rsidRPr="00360F70">
              <w:rPr>
                <w:rFonts w:ascii="Verdana" w:hAnsi="Verdana"/>
              </w:rPr>
              <w:t xml:space="preserve"> den oleokemiska processen med a) spaltning av olja/fett följt av koncentration av sötvatten och raffinering genom destillation (se del B, ordlista över bearbetningsmetoder, post 20) eller jonbytarprocess, b) </w:t>
            </w:r>
            <w:proofErr w:type="spellStart"/>
            <w:r w:rsidRPr="00360F70">
              <w:rPr>
                <w:rFonts w:ascii="Verdana" w:hAnsi="Verdana"/>
              </w:rPr>
              <w:t>transesterifiering</w:t>
            </w:r>
            <w:proofErr w:type="spellEnd"/>
            <w:r w:rsidRPr="00360F70">
              <w:rPr>
                <w:rFonts w:ascii="Verdana" w:hAnsi="Verdana"/>
              </w:rPr>
              <w:t xml:space="preserve"> av naturliga oljor/fetter för att åstadkomma metylestrar av fettsyror och obearbetat sötvatten, följt av koncentration av sötvattnet för att åstadkomma rå glycerol och raffinering genom destillering eller </w:t>
            </w:r>
            <w:proofErr w:type="spellStart"/>
            <w:r w:rsidRPr="00360F70">
              <w:rPr>
                <w:rFonts w:ascii="Verdana" w:hAnsi="Verdana"/>
              </w:rPr>
              <w:t>jonbyte</w:t>
            </w:r>
            <w:proofErr w:type="spellEnd"/>
            <w:r w:rsidRPr="00360F70">
              <w:rPr>
                <w:rFonts w:ascii="Verdana" w:hAnsi="Verdana"/>
              </w:rPr>
              <w:t>,</w:t>
            </w:r>
          </w:p>
          <w:p w:rsidR="001C3A68" w:rsidRPr="00360F70" w:rsidRDefault="001C3A68" w:rsidP="001C3A68">
            <w:pPr>
              <w:widowControl w:val="0"/>
              <w:autoSpaceDE w:val="0"/>
              <w:autoSpaceDN w:val="0"/>
              <w:adjustRightInd w:val="0"/>
              <w:spacing w:before="82" w:line="235" w:lineRule="auto"/>
              <w:ind w:left="331" w:right="53" w:hanging="247"/>
              <w:rPr>
                <w:rFonts w:ascii="Verdana" w:hAnsi="Verdana"/>
                <w:szCs w:val="20"/>
              </w:rPr>
            </w:pPr>
            <w:proofErr w:type="gramStart"/>
            <w:r w:rsidRPr="00360F70">
              <w:rPr>
                <w:rFonts w:ascii="Verdana" w:hAnsi="Verdana"/>
              </w:rPr>
              <w:t>—</w:t>
            </w:r>
            <w:proofErr w:type="gramEnd"/>
            <w:r w:rsidRPr="00360F70">
              <w:rPr>
                <w:rFonts w:ascii="Verdana" w:hAnsi="Verdana"/>
              </w:rPr>
              <w:t xml:space="preserve"> biodieselframställning (metyl- eller etylestrar av fettsyror), erhållen genom </w:t>
            </w:r>
            <w:proofErr w:type="spellStart"/>
            <w:r w:rsidRPr="00360F70">
              <w:rPr>
                <w:rFonts w:ascii="Verdana" w:hAnsi="Verdana"/>
              </w:rPr>
              <w:t>transesterifiering</w:t>
            </w:r>
            <w:proofErr w:type="spellEnd"/>
            <w:r w:rsidRPr="00360F70">
              <w:rPr>
                <w:rFonts w:ascii="Verdana" w:hAnsi="Verdana"/>
              </w:rPr>
              <w:t xml:space="preserve"> av oljor och fetter av ospecificerat vegetabiliskt och animaliskt ursprung med påföljande raffinering av glycerinen; lägsta glycerolhalt:</w:t>
            </w:r>
          </w:p>
          <w:p w:rsidR="001C3A68" w:rsidRPr="00360F70" w:rsidRDefault="001C3A68" w:rsidP="001C3A68">
            <w:pPr>
              <w:widowControl w:val="0"/>
              <w:tabs>
                <w:tab w:val="center" w:pos="2829"/>
              </w:tabs>
              <w:autoSpaceDE w:val="0"/>
              <w:autoSpaceDN w:val="0"/>
              <w:adjustRightInd w:val="0"/>
              <w:spacing w:line="193" w:lineRule="exact"/>
              <w:ind w:left="331"/>
              <w:rPr>
                <w:rFonts w:ascii="Verdana" w:hAnsi="Verdana"/>
                <w:szCs w:val="20"/>
              </w:rPr>
            </w:pPr>
            <w:r w:rsidRPr="00360F70">
              <w:rPr>
                <w:rFonts w:ascii="Verdana" w:hAnsi="Verdana"/>
              </w:rPr>
              <w:t>99 % av torrsubstansen,</w:t>
            </w:r>
            <w:r w:rsidRPr="00360F70">
              <w:tab/>
            </w:r>
          </w:p>
          <w:p w:rsidR="001C3A68" w:rsidRPr="00360F70" w:rsidRDefault="001C3A68" w:rsidP="001C3A68">
            <w:pPr>
              <w:widowControl w:val="0"/>
              <w:autoSpaceDE w:val="0"/>
              <w:autoSpaceDN w:val="0"/>
              <w:adjustRightInd w:val="0"/>
              <w:spacing w:before="84" w:line="235" w:lineRule="auto"/>
              <w:ind w:left="331" w:right="54" w:hanging="247"/>
              <w:jc w:val="both"/>
              <w:rPr>
                <w:rFonts w:ascii="Verdana" w:hAnsi="Verdana"/>
                <w:szCs w:val="20"/>
              </w:rPr>
            </w:pPr>
            <w:proofErr w:type="gramStart"/>
            <w:r w:rsidRPr="00360F70">
              <w:rPr>
                <w:rFonts w:ascii="Verdana" w:hAnsi="Verdana"/>
              </w:rPr>
              <w:t>—</w:t>
            </w:r>
            <w:proofErr w:type="gramEnd"/>
            <w:r w:rsidRPr="00360F70">
              <w:rPr>
                <w:rFonts w:ascii="Verdana" w:hAnsi="Verdana"/>
              </w:rPr>
              <w:t xml:space="preserve"> förtvålning av oljor/fetter av vegetabiliskt eller </w:t>
            </w:r>
            <w:r w:rsidRPr="00360F70">
              <w:rPr>
                <w:rFonts w:ascii="Verdana" w:hAnsi="Verdana"/>
              </w:rPr>
              <w:lastRenderedPageBreak/>
              <w:t>animaliskt ursprung, normalt med alkalier/alkaliska jordartsmetaller för att åstadkomma tvål, följt av rå glycerol och destillation;</w:t>
            </w:r>
          </w:p>
          <w:p w:rsidR="001C3A68" w:rsidRPr="00360F70" w:rsidRDefault="001C3A68" w:rsidP="001C3A68">
            <w:pPr>
              <w:jc w:val="both"/>
              <w:rPr>
                <w:rFonts w:ascii="Verdana" w:hAnsi="Verdana" w:cs="Tahoma"/>
                <w:szCs w:val="20"/>
              </w:rPr>
            </w:pPr>
            <w:r w:rsidRPr="00360F70">
              <w:rPr>
                <w:rFonts w:ascii="Verdana" w:hAnsi="Verdana"/>
              </w:rPr>
              <w:t>får innehålla upp till 50 ppm nickel från hydrogenering.</w:t>
            </w:r>
          </w:p>
        </w:tc>
      </w:tr>
    </w:tbl>
    <w:p w:rsidR="00FA37B8" w:rsidRPr="00360F70" w:rsidRDefault="00FA37B8" w:rsidP="00550C20">
      <w:pPr>
        <w:jc w:val="both"/>
        <w:rPr>
          <w:rFonts w:ascii="Verdana" w:hAnsi="Verdana" w:cs="Tahoma"/>
          <w:szCs w:val="20"/>
        </w:rPr>
      </w:pPr>
    </w:p>
    <w:p w:rsidR="00A54A61" w:rsidRPr="00360F70" w:rsidRDefault="008A5677" w:rsidP="009A2CDE">
      <w:pPr>
        <w:jc w:val="both"/>
        <w:rPr>
          <w:rFonts w:ascii="Verdana" w:hAnsi="Verdana" w:cs="Tahoma"/>
          <w:b/>
          <w:szCs w:val="20"/>
        </w:rPr>
      </w:pPr>
      <w:r w:rsidRPr="00360F70">
        <w:rPr>
          <w:rFonts w:ascii="Verdana" w:hAnsi="Verdana"/>
          <w:b/>
        </w:rPr>
        <w:t xml:space="preserve">2.1 Processhjälpmedel som kan ha använts vid behandling och bearbetning  </w:t>
      </w:r>
    </w:p>
    <w:p w:rsidR="00CF3131" w:rsidRPr="00360F70" w:rsidRDefault="00CF3131" w:rsidP="009A2CDE">
      <w:pPr>
        <w:jc w:val="both"/>
        <w:rPr>
          <w:rFonts w:ascii="Verdana" w:hAnsi="Verdana" w:cs="Tahoma"/>
          <w:szCs w:val="20"/>
        </w:rPr>
      </w:pPr>
      <w:r w:rsidRPr="00360F70">
        <w:rPr>
          <w:rFonts w:ascii="Verdana" w:hAnsi="Verdana"/>
        </w:rPr>
        <w:t>Vatten</w:t>
      </w:r>
    </w:p>
    <w:p w:rsidR="00CF3131" w:rsidRPr="00360F70" w:rsidRDefault="00CF3131" w:rsidP="009A2CDE">
      <w:pPr>
        <w:jc w:val="both"/>
        <w:rPr>
          <w:rFonts w:ascii="Verdana" w:hAnsi="Verdana" w:cs="Tahoma"/>
          <w:szCs w:val="20"/>
        </w:rPr>
      </w:pPr>
      <w:r w:rsidRPr="00360F70">
        <w:rPr>
          <w:rFonts w:ascii="Verdana" w:hAnsi="Verdana"/>
        </w:rPr>
        <w:t>Aluminiumsulfat</w:t>
      </w:r>
    </w:p>
    <w:p w:rsidR="00CF3131" w:rsidRPr="00360F70" w:rsidRDefault="00CF3131" w:rsidP="009A2CDE">
      <w:pPr>
        <w:jc w:val="both"/>
        <w:rPr>
          <w:rFonts w:ascii="Verdana" w:hAnsi="Verdana" w:cs="Tahoma"/>
          <w:szCs w:val="20"/>
        </w:rPr>
      </w:pPr>
      <w:r w:rsidRPr="00360F70">
        <w:rPr>
          <w:rFonts w:ascii="Verdana" w:hAnsi="Verdana"/>
        </w:rPr>
        <w:t>Citronsyra</w:t>
      </w:r>
    </w:p>
    <w:p w:rsidR="00CF3131" w:rsidRPr="00360F70" w:rsidRDefault="00CF3131" w:rsidP="009A2CDE">
      <w:pPr>
        <w:jc w:val="both"/>
        <w:rPr>
          <w:rFonts w:ascii="Verdana" w:hAnsi="Verdana" w:cs="Tahoma"/>
          <w:szCs w:val="20"/>
        </w:rPr>
      </w:pPr>
      <w:r w:rsidRPr="00360F70">
        <w:rPr>
          <w:rFonts w:ascii="Verdana" w:hAnsi="Verdana"/>
        </w:rPr>
        <w:t>Järnklorid</w:t>
      </w:r>
    </w:p>
    <w:p w:rsidR="00CF3131" w:rsidRPr="00360F70" w:rsidRDefault="00CF3131" w:rsidP="009A2CDE">
      <w:pPr>
        <w:jc w:val="both"/>
        <w:rPr>
          <w:rFonts w:ascii="Verdana" w:hAnsi="Verdana" w:cs="Tahoma"/>
          <w:szCs w:val="20"/>
        </w:rPr>
      </w:pPr>
      <w:r w:rsidRPr="00360F70">
        <w:rPr>
          <w:rFonts w:ascii="Verdana" w:hAnsi="Verdana"/>
        </w:rPr>
        <w:t>Saltsyra</w:t>
      </w:r>
    </w:p>
    <w:p w:rsidR="00CF3131" w:rsidRPr="00360F70" w:rsidRDefault="00CF3131" w:rsidP="009A2CDE">
      <w:pPr>
        <w:jc w:val="both"/>
        <w:rPr>
          <w:rFonts w:ascii="Verdana" w:hAnsi="Verdana" w:cs="Tahoma"/>
          <w:szCs w:val="20"/>
        </w:rPr>
      </w:pPr>
      <w:r w:rsidRPr="00360F70">
        <w:rPr>
          <w:rFonts w:ascii="Verdana" w:hAnsi="Verdana"/>
        </w:rPr>
        <w:t>Kaliumhydroxid</w:t>
      </w:r>
    </w:p>
    <w:p w:rsidR="00CF3131" w:rsidRPr="00360F70" w:rsidRDefault="00CF3131" w:rsidP="009A2CDE">
      <w:pPr>
        <w:jc w:val="both"/>
        <w:rPr>
          <w:rFonts w:ascii="Verdana" w:hAnsi="Verdana" w:cs="Tahoma"/>
          <w:szCs w:val="20"/>
        </w:rPr>
      </w:pPr>
      <w:r w:rsidRPr="00360F70">
        <w:rPr>
          <w:rFonts w:ascii="Verdana" w:hAnsi="Verdana"/>
        </w:rPr>
        <w:t>Natriumhydroxid</w:t>
      </w:r>
    </w:p>
    <w:p w:rsidR="00CF3131" w:rsidRPr="00360F70" w:rsidRDefault="00CF3131" w:rsidP="009A2CDE">
      <w:pPr>
        <w:jc w:val="both"/>
        <w:rPr>
          <w:rFonts w:ascii="Verdana" w:hAnsi="Verdana" w:cs="Tahoma"/>
          <w:szCs w:val="20"/>
        </w:rPr>
      </w:pPr>
      <w:proofErr w:type="spellStart"/>
      <w:r w:rsidRPr="00360F70">
        <w:rPr>
          <w:rFonts w:ascii="Verdana" w:hAnsi="Verdana"/>
        </w:rPr>
        <w:t>Natriummetoxid</w:t>
      </w:r>
      <w:proofErr w:type="spellEnd"/>
    </w:p>
    <w:p w:rsidR="00CF3131" w:rsidRPr="00360F70" w:rsidRDefault="008A5B95" w:rsidP="009A2CDE">
      <w:pPr>
        <w:jc w:val="both"/>
        <w:rPr>
          <w:rFonts w:ascii="Verdana" w:hAnsi="Verdana" w:cs="Tahoma"/>
          <w:szCs w:val="20"/>
        </w:rPr>
      </w:pPr>
      <w:r w:rsidRPr="00360F70">
        <w:rPr>
          <w:rFonts w:ascii="Verdana" w:hAnsi="Verdana"/>
        </w:rPr>
        <w:t>Svavelsyra</w:t>
      </w:r>
    </w:p>
    <w:p w:rsidR="008A5B95" w:rsidRPr="00360F70" w:rsidRDefault="008A5B95" w:rsidP="009A2CDE">
      <w:pPr>
        <w:jc w:val="both"/>
        <w:rPr>
          <w:rFonts w:ascii="Verdana" w:hAnsi="Verdana" w:cs="Tahoma"/>
          <w:szCs w:val="20"/>
        </w:rPr>
      </w:pPr>
      <w:r w:rsidRPr="00360F70">
        <w:rPr>
          <w:rFonts w:ascii="Verdana" w:hAnsi="Verdana"/>
        </w:rPr>
        <w:t>Fosforsyra</w:t>
      </w:r>
    </w:p>
    <w:p w:rsidR="00F04046" w:rsidRPr="00360F70" w:rsidRDefault="00F04046" w:rsidP="009A2CDE">
      <w:pPr>
        <w:jc w:val="both"/>
        <w:rPr>
          <w:rFonts w:ascii="Verdana" w:hAnsi="Verdana" w:cs="Tahoma"/>
          <w:szCs w:val="20"/>
        </w:rPr>
      </w:pPr>
      <w:r w:rsidRPr="00360F70">
        <w:rPr>
          <w:rFonts w:ascii="Verdana" w:hAnsi="Verdana"/>
        </w:rPr>
        <w:t>Toluensulfonsyra</w:t>
      </w:r>
    </w:p>
    <w:p w:rsidR="00CF3131" w:rsidRPr="00360F70" w:rsidRDefault="00CF3131" w:rsidP="009A2CDE">
      <w:pPr>
        <w:jc w:val="both"/>
        <w:rPr>
          <w:rFonts w:ascii="Verdana" w:hAnsi="Verdana" w:cs="Tahoma"/>
          <w:b/>
          <w:szCs w:val="20"/>
        </w:rPr>
      </w:pPr>
    </w:p>
    <w:p w:rsidR="00591963" w:rsidRPr="00360F70" w:rsidRDefault="00E752D5" w:rsidP="00E752D5">
      <w:pPr>
        <w:rPr>
          <w:rFonts w:ascii="Verdana" w:hAnsi="Verdana"/>
          <w:u w:val="single"/>
        </w:rPr>
      </w:pPr>
      <w:r w:rsidRPr="00360F70">
        <w:rPr>
          <w:rFonts w:ascii="Verdana" w:hAnsi="Verdana"/>
          <w:u w:val="single"/>
        </w:rPr>
        <w:t>Förteckningen är inte uttömmande</w:t>
      </w:r>
      <w:r w:rsidRPr="00360F70">
        <w:br w:type="page"/>
      </w:r>
    </w:p>
    <w:p w:rsidR="00667EF1" w:rsidRPr="00360F70" w:rsidRDefault="00667EF1" w:rsidP="00DD7B4B">
      <w:pPr>
        <w:pStyle w:val="Heading1"/>
        <w:tabs>
          <w:tab w:val="clear" w:pos="432"/>
          <w:tab w:val="num" w:pos="420"/>
        </w:tabs>
        <w:rPr>
          <w:rFonts w:ascii="Verdana" w:hAnsi="Verdana" w:cs="Tahoma"/>
        </w:rPr>
      </w:pPr>
      <w:bookmarkStart w:id="4" w:name="_Toc354998607"/>
      <w:bookmarkStart w:id="5" w:name="_Toc438114532"/>
      <w:r w:rsidRPr="00360F70">
        <w:rPr>
          <w:rFonts w:ascii="Verdana" w:hAnsi="Verdana"/>
        </w:rPr>
        <w:lastRenderedPageBreak/>
        <w:t>Processbeskrivning för biodiesel</w:t>
      </w:r>
      <w:bookmarkEnd w:id="4"/>
      <w:bookmarkEnd w:id="5"/>
    </w:p>
    <w:p w:rsidR="00BF3FB9" w:rsidRPr="00360F70" w:rsidRDefault="00BF3FB9" w:rsidP="00BF3FB9">
      <w:pPr>
        <w:rPr>
          <w:rFonts w:ascii="Verdana" w:hAnsi="Verdana"/>
        </w:rPr>
      </w:pPr>
    </w:p>
    <w:p w:rsidR="005B3B72" w:rsidRPr="00360F70" w:rsidRDefault="005B3B72" w:rsidP="00586F90">
      <w:pPr>
        <w:autoSpaceDE w:val="0"/>
        <w:autoSpaceDN w:val="0"/>
        <w:adjustRightInd w:val="0"/>
        <w:jc w:val="both"/>
      </w:pPr>
      <w:r w:rsidRPr="00360F70">
        <w:t xml:space="preserve">Biodiesel består av metylestrar av fettsyror och tillverkas genom en kemisk reaktion mellan oljor och fetter och monoalkoholer, vanligtvis metanol. En katalysator, vanligtvis natrium- eller kaliumhydroxid och/eller </w:t>
      </w:r>
      <w:proofErr w:type="spellStart"/>
      <w:r w:rsidRPr="00360F70">
        <w:t>metylat</w:t>
      </w:r>
      <w:proofErr w:type="spellEnd"/>
      <w:r w:rsidRPr="00360F70">
        <w:t xml:space="preserve"> används för att påskynda bildandet av alkylestrar. Denna tillverkningsprocess kallas allmänt </w:t>
      </w:r>
      <w:proofErr w:type="spellStart"/>
      <w:r w:rsidRPr="00360F70">
        <w:t>transesterifiering</w:t>
      </w:r>
      <w:proofErr w:type="spellEnd"/>
      <w:r w:rsidRPr="00360F70">
        <w:t>.</w:t>
      </w:r>
    </w:p>
    <w:p w:rsidR="00BF3FB9" w:rsidRPr="00360F70" w:rsidRDefault="001B5C78" w:rsidP="00586F90">
      <w:pPr>
        <w:autoSpaceDE w:val="0"/>
        <w:autoSpaceDN w:val="0"/>
        <w:adjustRightInd w:val="0"/>
        <w:jc w:val="both"/>
        <w:rPr>
          <w:rFonts w:ascii="Verdana" w:hAnsi="Verdana"/>
        </w:rPr>
      </w:pPr>
      <w:r w:rsidRPr="001B5C78">
        <w:rPr>
          <w:noProof/>
          <w:lang w:val="en-GB" w:eastAsia="en-GB" w:bidi="ar-SA"/>
        </w:rPr>
        <w:drawing>
          <wp:inline distT="0" distB="0" distL="0" distR="0" wp14:anchorId="041CE40C" wp14:editId="636549B8">
            <wp:extent cx="5612130" cy="1569201"/>
            <wp:effectExtent l="0" t="0" r="762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2130" cy="1569201"/>
                    </a:xfrm>
                    <a:prstGeom prst="rect">
                      <a:avLst/>
                    </a:prstGeom>
                  </pic:spPr>
                </pic:pic>
              </a:graphicData>
            </a:graphic>
          </wp:inline>
        </w:drawing>
      </w:r>
    </w:p>
    <w:p w:rsidR="00BF3FB9" w:rsidRPr="00360F70" w:rsidRDefault="00BF3FB9" w:rsidP="00BF3FB9">
      <w:pPr>
        <w:rPr>
          <w:rFonts w:ascii="Verdana" w:hAnsi="Verdana"/>
        </w:rPr>
      </w:pPr>
    </w:p>
    <w:p w:rsidR="00667EF1" w:rsidRPr="00360F70" w:rsidRDefault="00667EF1" w:rsidP="00667EF1">
      <w:pPr>
        <w:jc w:val="both"/>
        <w:rPr>
          <w:rFonts w:ascii="Verdana" w:hAnsi="Verdana" w:cs="Tahoma"/>
          <w:szCs w:val="20"/>
        </w:rPr>
      </w:pPr>
      <w:r w:rsidRPr="00360F70">
        <w:rPr>
          <w:rFonts w:ascii="Verdana" w:hAnsi="Verdana"/>
        </w:rPr>
        <w:t xml:space="preserve">I det här avsnittet beskriver vi processen för tillverkning av biodiesel av vegetabiliska oljor, där triglyceridoljan spaltas upp till </w:t>
      </w:r>
      <w:proofErr w:type="spellStart"/>
      <w:r w:rsidRPr="00360F70">
        <w:rPr>
          <w:rFonts w:ascii="Verdana" w:hAnsi="Verdana"/>
        </w:rPr>
        <w:t>alkyl</w:t>
      </w:r>
      <w:proofErr w:type="spellEnd"/>
      <w:r w:rsidRPr="00360F70">
        <w:rPr>
          <w:rFonts w:ascii="Verdana" w:hAnsi="Verdana"/>
        </w:rPr>
        <w:t xml:space="preserve"> (biodiesel) och glycerin genom att reagera med en monoalkohol. Därefter separeras biodiesel och glycerin samt renas. Tillverkningsprocesserna omfattar samma faser oavsett produktionsskalan, men utrustningen kan skilja sig mycket åt. </w:t>
      </w:r>
    </w:p>
    <w:p w:rsidR="00667EF1" w:rsidRPr="00360F70" w:rsidRDefault="00667EF1" w:rsidP="00667EF1">
      <w:pPr>
        <w:jc w:val="both"/>
        <w:rPr>
          <w:rFonts w:ascii="Verdana" w:hAnsi="Verdana" w:cs="Tahoma"/>
          <w:i/>
          <w:szCs w:val="20"/>
        </w:rPr>
      </w:pPr>
    </w:p>
    <w:p w:rsidR="00667EF1" w:rsidRPr="00360F70" w:rsidRDefault="00CF3131" w:rsidP="00DD7B4B">
      <w:pPr>
        <w:pStyle w:val="Heading2"/>
        <w:tabs>
          <w:tab w:val="clear" w:pos="709"/>
          <w:tab w:val="num" w:pos="697"/>
        </w:tabs>
        <w:rPr>
          <w:rFonts w:ascii="Verdana" w:hAnsi="Verdana"/>
        </w:rPr>
      </w:pPr>
      <w:bookmarkStart w:id="6" w:name="_Toc354998608"/>
      <w:bookmarkStart w:id="7" w:name="_Toc438114533"/>
      <w:r w:rsidRPr="00360F70">
        <w:rPr>
          <w:rFonts w:ascii="Verdana" w:hAnsi="Verdana"/>
        </w:rPr>
        <w:t>Mottagning av vegetabilisk olja</w:t>
      </w:r>
      <w:bookmarkEnd w:id="6"/>
      <w:bookmarkEnd w:id="7"/>
      <w:r w:rsidRPr="00360F70">
        <w:rPr>
          <w:rFonts w:ascii="Verdana" w:hAnsi="Verdana"/>
        </w:rPr>
        <w:t xml:space="preserve"> </w:t>
      </w:r>
    </w:p>
    <w:p w:rsidR="00667EF1" w:rsidRPr="00360F70" w:rsidRDefault="00667EF1" w:rsidP="005A4B4A">
      <w:pPr>
        <w:pStyle w:val="Heading2"/>
        <w:numPr>
          <w:ilvl w:val="0"/>
          <w:numId w:val="0"/>
        </w:numPr>
        <w:ind w:left="578"/>
        <w:rPr>
          <w:rFonts w:ascii="Verdana" w:hAnsi="Verdana"/>
        </w:rPr>
      </w:pPr>
    </w:p>
    <w:p w:rsidR="00A246EB" w:rsidRPr="00360F70" w:rsidRDefault="00A246EB" w:rsidP="00A246EB">
      <w:pPr>
        <w:jc w:val="both"/>
        <w:rPr>
          <w:rFonts w:ascii="Verdana" w:hAnsi="Verdana" w:cs="Tahoma"/>
          <w:szCs w:val="20"/>
        </w:rPr>
      </w:pPr>
      <w:r w:rsidRPr="00360F70">
        <w:rPr>
          <w:rFonts w:ascii="Verdana" w:hAnsi="Verdana"/>
        </w:rPr>
        <w:t>De vegetabiliska oljorna som levereras till biodieselanläggningarna är delvis raffinerade vegetabiliska oljor. Innan leverans ska de vegetabiliska oljorna (i enlighet med Fediols branschspecifika referensdokument)</w:t>
      </w:r>
      <w:r w:rsidRPr="00360F70">
        <w:rPr>
          <w:rStyle w:val="FootnoteReference"/>
          <w:rFonts w:ascii="Verdana" w:hAnsi="Verdana"/>
        </w:rPr>
        <w:footnoteReference w:id="1"/>
      </w:r>
      <w:r w:rsidRPr="00360F70">
        <w:rPr>
          <w:rFonts w:ascii="Verdana" w:hAnsi="Verdana"/>
        </w:rPr>
        <w:t xml:space="preserve"> genomgå ett antal raffineringar för att avlägsna olika orenheter, som fosfatider, fria fettsyror, vaxer, </w:t>
      </w:r>
      <w:proofErr w:type="spellStart"/>
      <w:r w:rsidRPr="00360F70">
        <w:rPr>
          <w:rFonts w:ascii="Verdana" w:hAnsi="Verdana"/>
        </w:rPr>
        <w:t>tokoferoler</w:t>
      </w:r>
      <w:proofErr w:type="spellEnd"/>
      <w:r w:rsidRPr="00360F70">
        <w:rPr>
          <w:rFonts w:ascii="Verdana" w:hAnsi="Verdana"/>
        </w:rPr>
        <w:t xml:space="preserve"> eller färgämnen som kan hämma processreaktionen för biodiesel. </w:t>
      </w:r>
    </w:p>
    <w:p w:rsidR="00E63462" w:rsidRPr="00360F70" w:rsidRDefault="00E63462" w:rsidP="00A246EB">
      <w:pPr>
        <w:jc w:val="both"/>
        <w:rPr>
          <w:rFonts w:ascii="Verdana" w:hAnsi="Verdana" w:cs="Tahoma"/>
          <w:szCs w:val="20"/>
        </w:rPr>
      </w:pPr>
    </w:p>
    <w:p w:rsidR="00E63462" w:rsidRPr="00360F70" w:rsidRDefault="00E63462" w:rsidP="00E63462">
      <w:pPr>
        <w:jc w:val="both"/>
        <w:rPr>
          <w:rFonts w:ascii="Verdana" w:hAnsi="Verdana" w:cs="Tahoma"/>
          <w:szCs w:val="20"/>
        </w:rPr>
      </w:pPr>
      <w:r w:rsidRPr="00360F70">
        <w:rPr>
          <w:rFonts w:ascii="Verdana" w:hAnsi="Verdana"/>
        </w:rPr>
        <w:t>Det mesta, om inte allt, råmaterial genomgår någon form av förbehandling för att minska förekomsten av orenheter och fria fettsyror innan det ska användas som råvara vid tillverkning av biodiesel.</w:t>
      </w:r>
    </w:p>
    <w:p w:rsidR="00A246EB" w:rsidRPr="00360F70" w:rsidRDefault="00A246EB" w:rsidP="00577B51">
      <w:pPr>
        <w:jc w:val="both"/>
        <w:rPr>
          <w:rFonts w:ascii="Verdana" w:hAnsi="Verdana" w:cs="Tahoma"/>
          <w:szCs w:val="20"/>
        </w:rPr>
      </w:pPr>
    </w:p>
    <w:p w:rsidR="003F6B44" w:rsidRPr="00360F70" w:rsidRDefault="004D7AD3" w:rsidP="00577B51">
      <w:pPr>
        <w:jc w:val="both"/>
        <w:rPr>
          <w:rFonts w:ascii="Verdana" w:hAnsi="Verdana" w:cs="Tahoma"/>
          <w:szCs w:val="20"/>
        </w:rPr>
      </w:pPr>
      <w:r w:rsidRPr="00360F70">
        <w:rPr>
          <w:rFonts w:ascii="Verdana" w:hAnsi="Verdana"/>
        </w:rPr>
        <w:t xml:space="preserve">Vid leveransen delas de delvis raffinerade vegetabiliska oljorna upp i tankar för förbehandling och </w:t>
      </w:r>
      <w:r w:rsidR="0068412B">
        <w:rPr>
          <w:rFonts w:ascii="Verdana" w:hAnsi="Verdana"/>
        </w:rPr>
        <w:t>lagring</w:t>
      </w:r>
      <w:r w:rsidRPr="00360F70">
        <w:rPr>
          <w:rFonts w:ascii="Verdana" w:hAnsi="Verdana"/>
        </w:rPr>
        <w:t xml:space="preserve">. Det inkommande materialets säkerhet och kvalitet bedöms. </w:t>
      </w:r>
    </w:p>
    <w:p w:rsidR="003F6B44" w:rsidRPr="00360F70" w:rsidRDefault="003F6B44" w:rsidP="00577B51">
      <w:pPr>
        <w:jc w:val="both"/>
        <w:rPr>
          <w:rFonts w:ascii="Verdana" w:hAnsi="Verdana" w:cs="Tahoma"/>
          <w:szCs w:val="20"/>
        </w:rPr>
      </w:pPr>
    </w:p>
    <w:p w:rsidR="00120930" w:rsidRPr="00360F70" w:rsidRDefault="00BE6EF6" w:rsidP="00577B51">
      <w:pPr>
        <w:jc w:val="both"/>
        <w:rPr>
          <w:rFonts w:ascii="Verdana" w:hAnsi="Verdana" w:cs="Tahoma"/>
          <w:szCs w:val="20"/>
        </w:rPr>
      </w:pPr>
      <w:r w:rsidRPr="00360F70">
        <w:rPr>
          <w:rFonts w:ascii="Verdana" w:hAnsi="Verdana"/>
        </w:rPr>
        <w:t xml:space="preserve">Halten av fria fettsyror, vatten och icke förtvålbara ämnen är nyckelparametrar för att åstadkomma en hög konverteringseffektivitet vid </w:t>
      </w:r>
      <w:proofErr w:type="spellStart"/>
      <w:r w:rsidRPr="00360F70">
        <w:rPr>
          <w:rFonts w:ascii="Verdana" w:hAnsi="Verdana"/>
        </w:rPr>
        <w:t>transesterifieringen</w:t>
      </w:r>
      <w:proofErr w:type="spellEnd"/>
      <w:r w:rsidRPr="00360F70">
        <w:rPr>
          <w:rFonts w:ascii="Verdana" w:hAnsi="Verdana"/>
        </w:rPr>
        <w:t xml:space="preserve">. Dessa parametrar kommer att påverka kvantiteten och förhållandet mellan råmaterial, alkohol och katalysatorer i processen. </w:t>
      </w:r>
    </w:p>
    <w:p w:rsidR="00BE3A6D" w:rsidRPr="00360F70" w:rsidRDefault="00BE3A6D" w:rsidP="001D2477">
      <w:pPr>
        <w:autoSpaceDE w:val="0"/>
        <w:autoSpaceDN w:val="0"/>
        <w:adjustRightInd w:val="0"/>
        <w:jc w:val="both"/>
        <w:rPr>
          <w:rFonts w:ascii="Verdana" w:hAnsi="Verdana"/>
        </w:rPr>
      </w:pPr>
    </w:p>
    <w:p w:rsidR="003E62F2" w:rsidRPr="00360F70" w:rsidRDefault="001D2477" w:rsidP="00DD7B4B">
      <w:pPr>
        <w:pStyle w:val="Heading2"/>
        <w:tabs>
          <w:tab w:val="clear" w:pos="709"/>
          <w:tab w:val="num" w:pos="697"/>
        </w:tabs>
        <w:rPr>
          <w:rFonts w:ascii="Verdana" w:hAnsi="Verdana"/>
        </w:rPr>
      </w:pPr>
      <w:bookmarkStart w:id="8" w:name="_Toc354998609"/>
      <w:bookmarkStart w:id="9" w:name="_Toc438114534"/>
      <w:r w:rsidRPr="00360F70">
        <w:rPr>
          <w:rFonts w:ascii="Verdana" w:hAnsi="Verdana"/>
        </w:rPr>
        <w:t>Reaktionsfas/Transesterifiering</w:t>
      </w:r>
      <w:bookmarkEnd w:id="8"/>
      <w:bookmarkEnd w:id="9"/>
    </w:p>
    <w:p w:rsidR="001D60DA" w:rsidRPr="00360F70" w:rsidRDefault="001D60DA" w:rsidP="001D60DA">
      <w:pPr>
        <w:autoSpaceDE w:val="0"/>
        <w:autoSpaceDN w:val="0"/>
        <w:adjustRightInd w:val="0"/>
        <w:jc w:val="both"/>
        <w:rPr>
          <w:rFonts w:ascii="Verdana" w:hAnsi="Verdana" w:cs="Tahoma"/>
          <w:sz w:val="22"/>
          <w:szCs w:val="22"/>
        </w:rPr>
      </w:pPr>
    </w:p>
    <w:p w:rsidR="00DA6FF0" w:rsidRPr="00360F70" w:rsidRDefault="003E62F2" w:rsidP="00B444D8">
      <w:pPr>
        <w:autoSpaceDE w:val="0"/>
        <w:autoSpaceDN w:val="0"/>
        <w:adjustRightInd w:val="0"/>
        <w:jc w:val="both"/>
        <w:rPr>
          <w:rFonts w:ascii="Verdana" w:hAnsi="Verdana" w:cs="Tahoma"/>
          <w:szCs w:val="20"/>
        </w:rPr>
      </w:pPr>
      <w:r w:rsidRPr="00360F70">
        <w:rPr>
          <w:rFonts w:ascii="Verdana" w:hAnsi="Verdana"/>
        </w:rPr>
        <w:t xml:space="preserve">Målet med reaktionsfasen är att omvandla råmaterialets fraktion av fria fettsyror (FFA) till biodiesel. När halten av fria fettsyror är hög genomförs vanligen reaktionsfasen i två steg, esterifiering och </w:t>
      </w:r>
      <w:proofErr w:type="spellStart"/>
      <w:r w:rsidRPr="00360F70">
        <w:rPr>
          <w:rFonts w:ascii="Verdana" w:hAnsi="Verdana"/>
        </w:rPr>
        <w:t>transesterifiering</w:t>
      </w:r>
      <w:proofErr w:type="spellEnd"/>
      <w:r w:rsidRPr="00360F70">
        <w:rPr>
          <w:rFonts w:ascii="Verdana" w:hAnsi="Verdana"/>
        </w:rPr>
        <w:t xml:space="preserve">. </w:t>
      </w:r>
    </w:p>
    <w:p w:rsidR="00DA6FF0" w:rsidRPr="00360F70" w:rsidRDefault="00DA6FF0" w:rsidP="00B444D8">
      <w:pPr>
        <w:autoSpaceDE w:val="0"/>
        <w:autoSpaceDN w:val="0"/>
        <w:adjustRightInd w:val="0"/>
        <w:jc w:val="both"/>
        <w:rPr>
          <w:rFonts w:ascii="Verdana" w:hAnsi="Verdana" w:cs="Tahoma"/>
          <w:szCs w:val="20"/>
        </w:rPr>
      </w:pPr>
    </w:p>
    <w:p w:rsidR="00665768" w:rsidRPr="00360F70" w:rsidRDefault="00CB7710" w:rsidP="001D2477">
      <w:pPr>
        <w:autoSpaceDE w:val="0"/>
        <w:autoSpaceDN w:val="0"/>
        <w:adjustRightInd w:val="0"/>
        <w:jc w:val="both"/>
        <w:rPr>
          <w:rFonts w:ascii="Verdana" w:hAnsi="Verdana"/>
        </w:rPr>
      </w:pPr>
      <w:r w:rsidRPr="00360F70">
        <w:rPr>
          <w:rFonts w:ascii="Verdana" w:hAnsi="Verdana"/>
        </w:rPr>
        <w:t>Efter analysen av den inkommande vegetabiliska oljan blandas alkohol och katalysator och skickas till reaktionskärlet, dit sedan även den vegetabiliska oljan tillsätts (figur 1 Flödesschema). Den här fasen kallas esterifiering och är en förb</w:t>
      </w:r>
      <w:r w:rsidR="0068412B">
        <w:rPr>
          <w:rFonts w:ascii="Verdana" w:hAnsi="Verdana"/>
        </w:rPr>
        <w:t>ehandl</w:t>
      </w:r>
      <w:r w:rsidRPr="00360F70">
        <w:rPr>
          <w:rFonts w:ascii="Verdana" w:hAnsi="Verdana"/>
        </w:rPr>
        <w:t xml:space="preserve">ing för att minska halten av fria fettsyror </w:t>
      </w:r>
      <w:r w:rsidR="0068412B">
        <w:rPr>
          <w:rFonts w:ascii="Verdana" w:hAnsi="Verdana"/>
        </w:rPr>
        <w:t>före</w:t>
      </w:r>
      <w:r w:rsidRPr="00360F70">
        <w:rPr>
          <w:rFonts w:ascii="Verdana" w:hAnsi="Verdana"/>
        </w:rPr>
        <w:t xml:space="preserve"> </w:t>
      </w:r>
      <w:proofErr w:type="spellStart"/>
      <w:r w:rsidRPr="00360F70">
        <w:rPr>
          <w:rFonts w:ascii="Verdana" w:hAnsi="Verdana"/>
        </w:rPr>
        <w:t>transesterifieringen</w:t>
      </w:r>
      <w:proofErr w:type="spellEnd"/>
      <w:r w:rsidRPr="00360F70">
        <w:rPr>
          <w:rFonts w:ascii="Verdana" w:hAnsi="Verdana"/>
        </w:rPr>
        <w:t xml:space="preserve">. </w:t>
      </w:r>
    </w:p>
    <w:p w:rsidR="001D2477" w:rsidRPr="00360F70" w:rsidRDefault="001D2477" w:rsidP="001D2477">
      <w:pPr>
        <w:autoSpaceDE w:val="0"/>
        <w:autoSpaceDN w:val="0"/>
        <w:adjustRightInd w:val="0"/>
        <w:jc w:val="both"/>
        <w:rPr>
          <w:rFonts w:ascii="Verdana" w:hAnsi="Verdana"/>
        </w:rPr>
      </w:pPr>
      <w:r w:rsidRPr="00360F70">
        <w:rPr>
          <w:rFonts w:ascii="Verdana" w:hAnsi="Verdana"/>
        </w:rPr>
        <w:t xml:space="preserve">Hela </w:t>
      </w:r>
      <w:proofErr w:type="spellStart"/>
      <w:r w:rsidRPr="00360F70">
        <w:rPr>
          <w:rFonts w:ascii="Verdana" w:hAnsi="Verdana"/>
        </w:rPr>
        <w:t>transesterifieringsprocessen</w:t>
      </w:r>
      <w:proofErr w:type="spellEnd"/>
      <w:r w:rsidRPr="00360F70">
        <w:rPr>
          <w:rFonts w:ascii="Verdana" w:hAnsi="Verdana"/>
        </w:rPr>
        <w:t xml:space="preserve"> är avskärmad från luften för att förhindra förlust av alkohol. Den alkohol som blir över används normalt för att se till att all olja </w:t>
      </w:r>
      <w:proofErr w:type="spellStart"/>
      <w:r w:rsidRPr="00360F70">
        <w:rPr>
          <w:rFonts w:ascii="Verdana" w:hAnsi="Verdana"/>
        </w:rPr>
        <w:t>förestras</w:t>
      </w:r>
      <w:proofErr w:type="spellEnd"/>
      <w:r w:rsidRPr="00360F70">
        <w:rPr>
          <w:rFonts w:ascii="Verdana" w:hAnsi="Verdana"/>
        </w:rPr>
        <w:t xml:space="preserve">. </w:t>
      </w:r>
    </w:p>
    <w:p w:rsidR="005A6305" w:rsidRPr="00360F70" w:rsidRDefault="005A6305" w:rsidP="009A2CDE">
      <w:pPr>
        <w:jc w:val="both"/>
        <w:rPr>
          <w:rFonts w:ascii="Verdana" w:hAnsi="Verdana" w:cs="Tahoma"/>
          <w:szCs w:val="20"/>
        </w:rPr>
      </w:pPr>
    </w:p>
    <w:p w:rsidR="00436063" w:rsidRPr="00360F70" w:rsidRDefault="005A6305" w:rsidP="00DD7B4B">
      <w:pPr>
        <w:pStyle w:val="Heading2"/>
        <w:tabs>
          <w:tab w:val="clear" w:pos="709"/>
          <w:tab w:val="num" w:pos="697"/>
        </w:tabs>
        <w:rPr>
          <w:rFonts w:ascii="Verdana" w:hAnsi="Verdana"/>
        </w:rPr>
      </w:pPr>
      <w:bookmarkStart w:id="10" w:name="_Toc354998610"/>
      <w:bookmarkStart w:id="11" w:name="_Toc438114535"/>
      <w:r w:rsidRPr="00360F70">
        <w:rPr>
          <w:rFonts w:ascii="Verdana" w:hAnsi="Verdana"/>
        </w:rPr>
        <w:t>Separationsfasen</w:t>
      </w:r>
      <w:bookmarkEnd w:id="10"/>
      <w:bookmarkEnd w:id="11"/>
    </w:p>
    <w:p w:rsidR="00436063" w:rsidRPr="00360F70" w:rsidRDefault="00436063" w:rsidP="005A6305">
      <w:pPr>
        <w:autoSpaceDE w:val="0"/>
        <w:autoSpaceDN w:val="0"/>
        <w:adjustRightInd w:val="0"/>
        <w:jc w:val="both"/>
        <w:rPr>
          <w:rFonts w:ascii="Verdana" w:hAnsi="Verdana"/>
          <w:i/>
          <w:iCs/>
        </w:rPr>
      </w:pPr>
    </w:p>
    <w:p w:rsidR="005A6305" w:rsidRPr="00360F70" w:rsidRDefault="005A6305" w:rsidP="005A6305">
      <w:pPr>
        <w:autoSpaceDE w:val="0"/>
        <w:autoSpaceDN w:val="0"/>
        <w:adjustRightInd w:val="0"/>
        <w:jc w:val="both"/>
        <w:rPr>
          <w:rFonts w:ascii="Verdana" w:hAnsi="Verdana"/>
        </w:rPr>
      </w:pPr>
      <w:r w:rsidRPr="00360F70">
        <w:rPr>
          <w:rFonts w:ascii="Verdana" w:hAnsi="Verdana"/>
        </w:rPr>
        <w:t>När reaktionsprocessen är klar har man fått två huvudprodukter – glycerin och biodiesel. I båda finns en betydande mängd av den extra metanol som användes för reaktionen. Vid behov kan ibland blandningen neutraliseras i det här steget. Glycerinen är tyngre än biodieseln och de kan separeras med gravitationens hjälp genom att glycerinen helt enkelt tappas ut från botten av kärlet. Ibland används en centrifug för att snabbare separera de två substanserna.</w:t>
      </w:r>
    </w:p>
    <w:p w:rsidR="008F2137" w:rsidRPr="00360F70" w:rsidRDefault="008F2137" w:rsidP="005A6305">
      <w:pPr>
        <w:autoSpaceDE w:val="0"/>
        <w:autoSpaceDN w:val="0"/>
        <w:adjustRightInd w:val="0"/>
        <w:jc w:val="both"/>
        <w:rPr>
          <w:rFonts w:ascii="Verdana" w:hAnsi="Verdana"/>
        </w:rPr>
      </w:pPr>
    </w:p>
    <w:p w:rsidR="008F2137" w:rsidRPr="00360F70" w:rsidRDefault="008F2137" w:rsidP="00DD7B4B">
      <w:pPr>
        <w:pStyle w:val="Heading2"/>
        <w:tabs>
          <w:tab w:val="clear" w:pos="709"/>
          <w:tab w:val="num" w:pos="697"/>
        </w:tabs>
        <w:rPr>
          <w:rFonts w:ascii="Verdana" w:hAnsi="Verdana"/>
        </w:rPr>
      </w:pPr>
      <w:bookmarkStart w:id="12" w:name="_Toc354998611"/>
      <w:bookmarkStart w:id="13" w:name="_Toc438114536"/>
      <w:proofErr w:type="spellStart"/>
      <w:r w:rsidRPr="00360F70">
        <w:rPr>
          <w:rFonts w:ascii="Verdana" w:hAnsi="Verdana"/>
        </w:rPr>
        <w:t>Syrabehandling</w:t>
      </w:r>
      <w:proofErr w:type="spellEnd"/>
      <w:r w:rsidRPr="00360F70">
        <w:rPr>
          <w:rFonts w:ascii="Verdana" w:hAnsi="Verdana"/>
        </w:rPr>
        <w:t xml:space="preserve"> och separation av fria fettsyror</w:t>
      </w:r>
      <w:bookmarkEnd w:id="12"/>
      <w:bookmarkEnd w:id="13"/>
    </w:p>
    <w:p w:rsidR="00436063" w:rsidRPr="00360F70" w:rsidRDefault="00436063" w:rsidP="005A6305">
      <w:pPr>
        <w:autoSpaceDE w:val="0"/>
        <w:autoSpaceDN w:val="0"/>
        <w:adjustRightInd w:val="0"/>
        <w:jc w:val="both"/>
        <w:rPr>
          <w:rFonts w:ascii="Verdana" w:hAnsi="Verdana"/>
          <w:u w:val="single"/>
        </w:rPr>
      </w:pPr>
    </w:p>
    <w:p w:rsidR="00725858" w:rsidRPr="00360F70" w:rsidRDefault="00436063" w:rsidP="005A6305">
      <w:pPr>
        <w:autoSpaceDE w:val="0"/>
        <w:autoSpaceDN w:val="0"/>
        <w:adjustRightInd w:val="0"/>
        <w:jc w:val="both"/>
        <w:rPr>
          <w:rFonts w:ascii="Verdana" w:hAnsi="Verdana"/>
        </w:rPr>
      </w:pPr>
      <w:r w:rsidRPr="00360F70">
        <w:rPr>
          <w:rFonts w:ascii="Verdana" w:hAnsi="Verdana"/>
        </w:rPr>
        <w:t xml:space="preserve">Efter separationen består glycerinen vanligen av 50 % glycerin, 40 % metanol och 10 % tvål och katalysator. Katalysatorn neutraliseras och tvålen spaltas till fettsyror och salter. Fria fettsyror och metanol avlägsnas och återvinns. </w:t>
      </w:r>
    </w:p>
    <w:p w:rsidR="00815334" w:rsidRPr="00360F70" w:rsidRDefault="00815334" w:rsidP="005A6305">
      <w:pPr>
        <w:autoSpaceDE w:val="0"/>
        <w:autoSpaceDN w:val="0"/>
        <w:adjustRightInd w:val="0"/>
        <w:jc w:val="both"/>
        <w:rPr>
          <w:rFonts w:ascii="Verdana" w:hAnsi="Verdana"/>
          <w:bCs/>
          <w:u w:val="single"/>
        </w:rPr>
      </w:pPr>
    </w:p>
    <w:p w:rsidR="003E62F2" w:rsidRPr="00360F70" w:rsidRDefault="005A6305" w:rsidP="00DD7B4B">
      <w:pPr>
        <w:pStyle w:val="Heading2"/>
        <w:tabs>
          <w:tab w:val="clear" w:pos="709"/>
          <w:tab w:val="num" w:pos="697"/>
        </w:tabs>
        <w:rPr>
          <w:rFonts w:ascii="Verdana" w:hAnsi="Verdana"/>
          <w:i/>
        </w:rPr>
      </w:pPr>
      <w:bookmarkStart w:id="14" w:name="_Toc354998612"/>
      <w:bookmarkStart w:id="15" w:name="_Toc438114537"/>
      <w:r w:rsidRPr="00360F70">
        <w:rPr>
          <w:rFonts w:ascii="Verdana" w:hAnsi="Verdana"/>
        </w:rPr>
        <w:t>Neutralisering av glycerin</w:t>
      </w:r>
      <w:bookmarkEnd w:id="14"/>
      <w:bookmarkEnd w:id="15"/>
      <w:r w:rsidRPr="00360F70">
        <w:rPr>
          <w:rFonts w:ascii="Verdana" w:hAnsi="Verdana"/>
        </w:rPr>
        <w:t xml:space="preserve"> </w:t>
      </w:r>
    </w:p>
    <w:p w:rsidR="003E62F2" w:rsidRPr="00360F70" w:rsidRDefault="003E62F2" w:rsidP="005A6305">
      <w:pPr>
        <w:autoSpaceDE w:val="0"/>
        <w:autoSpaceDN w:val="0"/>
        <w:adjustRightInd w:val="0"/>
        <w:jc w:val="both"/>
        <w:rPr>
          <w:rFonts w:ascii="Verdana" w:hAnsi="Verdana"/>
          <w:i/>
          <w:iCs/>
        </w:rPr>
      </w:pPr>
    </w:p>
    <w:p w:rsidR="00815334" w:rsidRPr="00360F70" w:rsidRDefault="005A6305" w:rsidP="005A6305">
      <w:pPr>
        <w:autoSpaceDE w:val="0"/>
        <w:autoSpaceDN w:val="0"/>
        <w:adjustRightInd w:val="0"/>
        <w:jc w:val="both"/>
        <w:rPr>
          <w:rFonts w:ascii="Verdana" w:hAnsi="Verdana"/>
        </w:rPr>
      </w:pPr>
      <w:r w:rsidRPr="00360F70">
        <w:rPr>
          <w:rFonts w:ascii="Verdana" w:hAnsi="Verdana"/>
        </w:rPr>
        <w:t xml:space="preserve">Biprodukten glycerin innehåller oförbrukad katalysator och tvål som neutraliseras med en syra och sänds till </w:t>
      </w:r>
      <w:r w:rsidR="0068412B">
        <w:rPr>
          <w:rFonts w:ascii="Verdana" w:hAnsi="Verdana"/>
        </w:rPr>
        <w:t>lagring</w:t>
      </w:r>
      <w:r w:rsidRPr="00360F70">
        <w:rPr>
          <w:rFonts w:ascii="Verdana" w:hAnsi="Verdana"/>
        </w:rPr>
        <w:t xml:space="preserve"> som rå glycerin. I vissa fall kan det salt som bildas under denna fas återvinnas för att användas som göd</w:t>
      </w:r>
      <w:r w:rsidR="001026C8">
        <w:rPr>
          <w:rFonts w:ascii="Verdana" w:hAnsi="Verdana"/>
        </w:rPr>
        <w:t>sel</w:t>
      </w:r>
      <w:r w:rsidRPr="00360F70">
        <w:rPr>
          <w:rFonts w:ascii="Verdana" w:hAnsi="Verdana"/>
        </w:rPr>
        <w:t>medel. Vanligen lämnas dock saltet kvar i glycerinen. Vatten och alkohol avlägsnas så att det återstår ungefär 80 % ren glycerin som kan säljas som rå neutraliserad glycerin.</w:t>
      </w:r>
    </w:p>
    <w:p w:rsidR="00421B8B" w:rsidRPr="00360F70" w:rsidRDefault="00421B8B" w:rsidP="005A6305">
      <w:pPr>
        <w:autoSpaceDE w:val="0"/>
        <w:autoSpaceDN w:val="0"/>
        <w:adjustRightInd w:val="0"/>
        <w:jc w:val="both"/>
        <w:rPr>
          <w:rFonts w:ascii="Verdana" w:hAnsi="Verdana"/>
        </w:rPr>
      </w:pPr>
    </w:p>
    <w:p w:rsidR="00815334" w:rsidRPr="00360F70" w:rsidRDefault="00DA6FF0" w:rsidP="005A6305">
      <w:pPr>
        <w:autoSpaceDE w:val="0"/>
        <w:autoSpaceDN w:val="0"/>
        <w:adjustRightInd w:val="0"/>
        <w:jc w:val="both"/>
        <w:rPr>
          <w:rFonts w:ascii="Verdana" w:hAnsi="Verdana"/>
        </w:rPr>
      </w:pPr>
      <w:r w:rsidRPr="00360F70">
        <w:rPr>
          <w:rFonts w:ascii="Verdana" w:hAnsi="Verdana"/>
        </w:rPr>
        <w:t>Raffinerad glycerin: Rå glycerin kan ibland raffineras ytterligare till farmaceutisk grad eller teknisk grad eller fodergrad genom att vatten och salter destilleras bort.</w:t>
      </w:r>
    </w:p>
    <w:p w:rsidR="005A6305" w:rsidRPr="00360F70" w:rsidRDefault="005A6305" w:rsidP="005A6305">
      <w:pPr>
        <w:autoSpaceDE w:val="0"/>
        <w:autoSpaceDN w:val="0"/>
        <w:adjustRightInd w:val="0"/>
        <w:jc w:val="both"/>
        <w:rPr>
          <w:rFonts w:ascii="Verdana" w:hAnsi="Verdana"/>
        </w:rPr>
      </w:pPr>
    </w:p>
    <w:p w:rsidR="00F8756D" w:rsidRPr="00360F70" w:rsidRDefault="005A6305" w:rsidP="00DD7B4B">
      <w:pPr>
        <w:pStyle w:val="Heading2"/>
        <w:tabs>
          <w:tab w:val="clear" w:pos="709"/>
          <w:tab w:val="num" w:pos="697"/>
        </w:tabs>
        <w:rPr>
          <w:rFonts w:ascii="Verdana" w:hAnsi="Verdana"/>
        </w:rPr>
      </w:pPr>
      <w:bookmarkStart w:id="16" w:name="_Toc354998613"/>
      <w:bookmarkStart w:id="17" w:name="_Toc438114538"/>
      <w:r w:rsidRPr="00360F70">
        <w:rPr>
          <w:rFonts w:ascii="Verdana" w:hAnsi="Verdana"/>
        </w:rPr>
        <w:t>Tvättning av metylester</w:t>
      </w:r>
      <w:bookmarkEnd w:id="16"/>
      <w:bookmarkEnd w:id="17"/>
    </w:p>
    <w:p w:rsidR="00F8756D" w:rsidRPr="00360F70" w:rsidRDefault="00F8756D" w:rsidP="005A6305">
      <w:pPr>
        <w:autoSpaceDE w:val="0"/>
        <w:autoSpaceDN w:val="0"/>
        <w:adjustRightInd w:val="0"/>
        <w:jc w:val="both"/>
        <w:rPr>
          <w:rFonts w:ascii="Verdana" w:hAnsi="Verdana"/>
        </w:rPr>
      </w:pPr>
    </w:p>
    <w:p w:rsidR="00CF3131" w:rsidRPr="00360F70" w:rsidRDefault="005A6305" w:rsidP="005A6305">
      <w:pPr>
        <w:autoSpaceDE w:val="0"/>
        <w:autoSpaceDN w:val="0"/>
        <w:adjustRightInd w:val="0"/>
        <w:jc w:val="both"/>
        <w:rPr>
          <w:rFonts w:ascii="Verdana" w:hAnsi="Verdana"/>
        </w:rPr>
      </w:pPr>
      <w:r w:rsidRPr="00360F70">
        <w:rPr>
          <w:rFonts w:ascii="Verdana" w:hAnsi="Verdana"/>
        </w:rPr>
        <w:t>När biodieseln separerats från glycerinen renas den ibland genom att den försiktigt tvättas med varmt vatten för att få bort katalysator- eller tvålrester</w:t>
      </w:r>
      <w:r w:rsidR="0068412B">
        <w:rPr>
          <w:rFonts w:ascii="Verdana" w:hAnsi="Verdana"/>
        </w:rPr>
        <w:t>, torkas och s</w:t>
      </w:r>
      <w:r w:rsidRPr="00360F70">
        <w:rPr>
          <w:rFonts w:ascii="Verdana" w:hAnsi="Verdana"/>
        </w:rPr>
        <w:t xml:space="preserve">edan sänds den till </w:t>
      </w:r>
      <w:r w:rsidR="0068412B">
        <w:rPr>
          <w:rFonts w:ascii="Verdana" w:hAnsi="Verdana"/>
        </w:rPr>
        <w:t>lagring</w:t>
      </w:r>
      <w:r w:rsidRPr="00360F70">
        <w:rPr>
          <w:rFonts w:ascii="Verdana" w:hAnsi="Verdana"/>
        </w:rPr>
        <w:t xml:space="preserve">. I vissa processer är detta steg onödigt. I några system destilleras biodieseln. Det är ett valfritt steg som ökar biodieselns renhet. </w:t>
      </w:r>
    </w:p>
    <w:p w:rsidR="00D562AC" w:rsidRPr="00360F70" w:rsidRDefault="00D562AC" w:rsidP="005A6305">
      <w:pPr>
        <w:autoSpaceDE w:val="0"/>
        <w:autoSpaceDN w:val="0"/>
        <w:adjustRightInd w:val="0"/>
        <w:jc w:val="both"/>
        <w:rPr>
          <w:rFonts w:ascii="Verdana" w:hAnsi="Verdana"/>
        </w:rPr>
      </w:pPr>
    </w:p>
    <w:p w:rsidR="00CF3131" w:rsidRPr="00360F70" w:rsidRDefault="0068412B" w:rsidP="00DD7B4B">
      <w:pPr>
        <w:pStyle w:val="Heading2"/>
        <w:tabs>
          <w:tab w:val="clear" w:pos="709"/>
          <w:tab w:val="num" w:pos="697"/>
        </w:tabs>
        <w:rPr>
          <w:rFonts w:ascii="Verdana" w:hAnsi="Verdana"/>
        </w:rPr>
      </w:pPr>
      <w:bookmarkStart w:id="18" w:name="_Toc354998614"/>
      <w:bookmarkStart w:id="19" w:name="_Toc438114539"/>
      <w:r>
        <w:rPr>
          <w:rFonts w:ascii="Verdana" w:hAnsi="Verdana"/>
        </w:rPr>
        <w:t>Lag</w:t>
      </w:r>
      <w:r w:rsidR="00CF3131" w:rsidRPr="00360F70">
        <w:rPr>
          <w:rFonts w:ascii="Verdana" w:hAnsi="Verdana"/>
        </w:rPr>
        <w:t>ring</w:t>
      </w:r>
      <w:bookmarkEnd w:id="18"/>
      <w:bookmarkEnd w:id="19"/>
    </w:p>
    <w:p w:rsidR="00CF3131" w:rsidRPr="00360F70" w:rsidRDefault="00CF3131" w:rsidP="005A6305">
      <w:pPr>
        <w:autoSpaceDE w:val="0"/>
        <w:autoSpaceDN w:val="0"/>
        <w:adjustRightInd w:val="0"/>
        <w:jc w:val="both"/>
        <w:rPr>
          <w:rFonts w:ascii="Verdana" w:hAnsi="Verdana"/>
        </w:rPr>
      </w:pPr>
    </w:p>
    <w:p w:rsidR="00F8756D" w:rsidRPr="00360F70" w:rsidRDefault="00F8756D" w:rsidP="005A6305">
      <w:pPr>
        <w:autoSpaceDE w:val="0"/>
        <w:autoSpaceDN w:val="0"/>
        <w:adjustRightInd w:val="0"/>
        <w:jc w:val="both"/>
        <w:rPr>
          <w:rFonts w:ascii="Verdana" w:hAnsi="Verdana"/>
        </w:rPr>
      </w:pPr>
      <w:r w:rsidRPr="00360F70">
        <w:rPr>
          <w:rFonts w:ascii="Verdana" w:hAnsi="Verdana"/>
        </w:rPr>
        <w:t xml:space="preserve">Glycerin ska </w:t>
      </w:r>
      <w:r w:rsidR="0068412B">
        <w:rPr>
          <w:rFonts w:ascii="Verdana" w:hAnsi="Verdana"/>
        </w:rPr>
        <w:t>lag</w:t>
      </w:r>
      <w:r w:rsidRPr="00360F70">
        <w:rPr>
          <w:rFonts w:ascii="Verdana" w:hAnsi="Verdana"/>
        </w:rPr>
        <w:t xml:space="preserve">ras i lämpliga </w:t>
      </w:r>
      <w:r w:rsidR="0068412B">
        <w:rPr>
          <w:rFonts w:ascii="Verdana" w:hAnsi="Verdana"/>
        </w:rPr>
        <w:t>lagr</w:t>
      </w:r>
      <w:r w:rsidRPr="00360F70">
        <w:rPr>
          <w:rFonts w:ascii="Verdana" w:hAnsi="Verdana"/>
        </w:rPr>
        <w:t>ingstankar.</w:t>
      </w:r>
    </w:p>
    <w:p w:rsidR="00F8756D" w:rsidRPr="00360F70" w:rsidRDefault="00F8756D" w:rsidP="005A6305">
      <w:pPr>
        <w:autoSpaceDE w:val="0"/>
        <w:autoSpaceDN w:val="0"/>
        <w:adjustRightInd w:val="0"/>
        <w:jc w:val="both"/>
        <w:rPr>
          <w:rFonts w:ascii="Verdana" w:hAnsi="Verdana"/>
        </w:rPr>
      </w:pPr>
    </w:p>
    <w:p w:rsidR="00CF3131" w:rsidRPr="00360F70" w:rsidRDefault="00CF3131" w:rsidP="00DD7B4B">
      <w:pPr>
        <w:pStyle w:val="Heading2"/>
        <w:tabs>
          <w:tab w:val="clear" w:pos="709"/>
          <w:tab w:val="num" w:pos="697"/>
        </w:tabs>
        <w:rPr>
          <w:rFonts w:ascii="Verdana" w:hAnsi="Verdana"/>
        </w:rPr>
      </w:pPr>
      <w:bookmarkStart w:id="20" w:name="_Toc354998615"/>
      <w:bookmarkStart w:id="21" w:name="_Toc438114540"/>
      <w:r w:rsidRPr="00360F70">
        <w:rPr>
          <w:rFonts w:ascii="Verdana" w:hAnsi="Verdana"/>
        </w:rPr>
        <w:t>Transport</w:t>
      </w:r>
      <w:bookmarkEnd w:id="20"/>
      <w:bookmarkEnd w:id="21"/>
    </w:p>
    <w:p w:rsidR="00490C74" w:rsidRPr="00360F70" w:rsidRDefault="00490C74" w:rsidP="00F8756D">
      <w:pPr>
        <w:autoSpaceDE w:val="0"/>
        <w:autoSpaceDN w:val="0"/>
        <w:adjustRightInd w:val="0"/>
        <w:jc w:val="both"/>
        <w:rPr>
          <w:rFonts w:ascii="Verdana" w:hAnsi="Verdana" w:cs="Tahoma"/>
          <w:szCs w:val="20"/>
        </w:rPr>
      </w:pPr>
    </w:p>
    <w:p w:rsidR="00B87D01" w:rsidRPr="00360F70" w:rsidRDefault="00490C74" w:rsidP="00B87D01">
      <w:pPr>
        <w:autoSpaceDE w:val="0"/>
        <w:autoSpaceDN w:val="0"/>
        <w:adjustRightInd w:val="0"/>
        <w:jc w:val="both"/>
        <w:rPr>
          <w:rFonts w:ascii="Verdana" w:hAnsi="Verdana" w:cs="Tahoma"/>
          <w:b/>
          <w:color w:val="4F81BD"/>
          <w:szCs w:val="20"/>
        </w:rPr>
      </w:pPr>
      <w:r w:rsidRPr="00360F70">
        <w:rPr>
          <w:rFonts w:ascii="Verdana" w:hAnsi="Verdana"/>
        </w:rPr>
        <w:t xml:space="preserve">Det finns transportkrav för den </w:t>
      </w:r>
      <w:r w:rsidR="001026C8">
        <w:rPr>
          <w:rFonts w:ascii="Verdana" w:hAnsi="Verdana"/>
        </w:rPr>
        <w:t>bearbetade</w:t>
      </w:r>
      <w:r w:rsidRPr="00360F70">
        <w:rPr>
          <w:rFonts w:ascii="Verdana" w:hAnsi="Verdana"/>
        </w:rPr>
        <w:t xml:space="preserve"> samprodukten glycerin. Transport av samprodukten måste ske i enlighet med EU-lagstiftning och nationell lagstiftning, befintliga transportregler, kundkrav och kraven i det här dokumentet (</w:t>
      </w:r>
      <w:r w:rsidRPr="0068412B">
        <w:rPr>
          <w:rFonts w:ascii="Verdana" w:hAnsi="Verdana"/>
          <w:i/>
        </w:rPr>
        <w:t>Branschspecifikt referensdokument om tillverkning av säkra foderråvaror som utvinns från biodieselbearbetning</w:t>
      </w:r>
      <w:r w:rsidRPr="00360F70">
        <w:rPr>
          <w:rFonts w:ascii="Verdana" w:hAnsi="Verdana"/>
        </w:rPr>
        <w:t>).</w:t>
      </w:r>
      <w:r w:rsidRPr="00360F70">
        <w:rPr>
          <w:rFonts w:ascii="Verdana" w:hAnsi="Verdana"/>
          <w:b/>
        </w:rPr>
        <w:t xml:space="preserve"> </w:t>
      </w:r>
    </w:p>
    <w:p w:rsidR="008F2137" w:rsidRPr="00360F70" w:rsidRDefault="008F2137" w:rsidP="00DD7B4B">
      <w:pPr>
        <w:pStyle w:val="Heading1"/>
        <w:numPr>
          <w:ilvl w:val="0"/>
          <w:numId w:val="28"/>
        </w:numPr>
        <w:tabs>
          <w:tab w:val="clear" w:pos="432"/>
          <w:tab w:val="num" w:pos="420"/>
        </w:tabs>
        <w:rPr>
          <w:rFonts w:ascii="Verdana" w:hAnsi="Verdana"/>
        </w:rPr>
      </w:pPr>
      <w:bookmarkStart w:id="22" w:name="_Toc354998616"/>
      <w:bookmarkStart w:id="23" w:name="_Toc438114541"/>
      <w:r w:rsidRPr="00360F70">
        <w:rPr>
          <w:rFonts w:ascii="Verdana" w:hAnsi="Verdana"/>
        </w:rPr>
        <w:lastRenderedPageBreak/>
        <w:t>Processflödesschema för biodieselproduktion</w:t>
      </w:r>
      <w:bookmarkEnd w:id="22"/>
      <w:bookmarkEnd w:id="23"/>
    </w:p>
    <w:p w:rsidR="008F2137" w:rsidRPr="00360F70" w:rsidRDefault="008F2137" w:rsidP="008F2137">
      <w:pPr>
        <w:jc w:val="both"/>
        <w:rPr>
          <w:rFonts w:ascii="Verdana" w:hAnsi="Verdana" w:cs="Tahoma"/>
        </w:rPr>
      </w:pPr>
    </w:p>
    <w:p w:rsidR="00453723" w:rsidRPr="00360F70" w:rsidRDefault="00545727" w:rsidP="00453723">
      <w:pPr>
        <w:jc w:val="both"/>
        <w:rPr>
          <w:rFonts w:ascii="Verdana" w:hAnsi="Verdana" w:cs="Tahoma"/>
        </w:rPr>
      </w:pPr>
      <w:r w:rsidRPr="00360F70">
        <w:rPr>
          <w:rFonts w:ascii="Verdana" w:hAnsi="Verdana"/>
        </w:rPr>
        <w:t>Detta schema är en mycket allmän beskrivning av en biodieselprocess</w:t>
      </w:r>
    </w:p>
    <w:p w:rsidR="007B1792" w:rsidRPr="00360F70" w:rsidRDefault="007B1792" w:rsidP="00453723">
      <w:pPr>
        <w:jc w:val="both"/>
        <w:rPr>
          <w:rFonts w:ascii="Verdana" w:hAnsi="Verdana" w:cs="Tahoma"/>
        </w:rPr>
      </w:pPr>
    </w:p>
    <w:p w:rsidR="007B1792" w:rsidRPr="00360F70" w:rsidRDefault="007B1792" w:rsidP="00453723">
      <w:pPr>
        <w:jc w:val="both"/>
        <w:rPr>
          <w:rFonts w:ascii="Verdana" w:hAnsi="Verdana" w:cs="Tahoma"/>
        </w:rPr>
      </w:pPr>
    </w:p>
    <w:p w:rsidR="009E27A2" w:rsidRPr="00360F70" w:rsidRDefault="00E52B44" w:rsidP="007B1792">
      <w:pPr>
        <w:tabs>
          <w:tab w:val="left" w:pos="7980"/>
        </w:tabs>
        <w:ind w:hanging="567"/>
        <w:jc w:val="both"/>
        <w:rPr>
          <w:rFonts w:ascii="Verdana" w:hAnsi="Verdana" w:cs="Tahoma"/>
          <w:szCs w:val="20"/>
        </w:rPr>
      </w:pPr>
      <w:r w:rsidRPr="00E52B44">
        <w:rPr>
          <w:noProof/>
          <w:lang w:val="en-GB" w:eastAsia="en-GB" w:bidi="ar-SA"/>
        </w:rPr>
        <w:drawing>
          <wp:inline distT="0" distB="0" distL="0" distR="0" wp14:anchorId="4E60C3B7" wp14:editId="7141123A">
            <wp:extent cx="6156000" cy="4545994"/>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56000" cy="4545994"/>
                    </a:xfrm>
                    <a:prstGeom prst="rect">
                      <a:avLst/>
                    </a:prstGeom>
                  </pic:spPr>
                </pic:pic>
              </a:graphicData>
            </a:graphic>
          </wp:inline>
        </w:drawing>
      </w:r>
    </w:p>
    <w:p w:rsidR="00BF3FB9" w:rsidRPr="00360F70" w:rsidRDefault="00BF3FB9" w:rsidP="009E27A2">
      <w:pPr>
        <w:tabs>
          <w:tab w:val="left" w:pos="7980"/>
        </w:tabs>
        <w:jc w:val="both"/>
        <w:rPr>
          <w:rFonts w:ascii="Verdana" w:hAnsi="Verdana" w:cs="Tahoma"/>
          <w:szCs w:val="20"/>
        </w:rPr>
      </w:pPr>
    </w:p>
    <w:p w:rsidR="00BF3FB9" w:rsidRPr="00360F70" w:rsidRDefault="00BF3FB9" w:rsidP="007B1792">
      <w:pPr>
        <w:tabs>
          <w:tab w:val="left" w:pos="7980"/>
        </w:tabs>
        <w:jc w:val="center"/>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BF3FB9" w:rsidRPr="00360F70" w:rsidRDefault="00BF3FB9" w:rsidP="009E27A2">
      <w:pPr>
        <w:tabs>
          <w:tab w:val="left" w:pos="7980"/>
        </w:tabs>
        <w:jc w:val="both"/>
        <w:rPr>
          <w:rFonts w:ascii="Verdana" w:hAnsi="Verdana" w:cs="Tahoma"/>
          <w:szCs w:val="20"/>
        </w:rPr>
      </w:pPr>
    </w:p>
    <w:p w:rsidR="00133433" w:rsidRPr="00360F70" w:rsidRDefault="00133433">
      <w:pPr>
        <w:rPr>
          <w:rFonts w:ascii="Verdana" w:hAnsi="Verdana" w:cs="Tahoma"/>
          <w:szCs w:val="20"/>
        </w:rPr>
      </w:pPr>
      <w:r w:rsidRPr="00360F70">
        <w:br w:type="page"/>
      </w:r>
    </w:p>
    <w:p w:rsidR="002C35C6" w:rsidRPr="00360F70" w:rsidRDefault="00FE1541" w:rsidP="002C35C6">
      <w:pPr>
        <w:pStyle w:val="Heading1"/>
        <w:jc w:val="both"/>
        <w:rPr>
          <w:rFonts w:ascii="Verdana" w:hAnsi="Verdana" w:cs="Tahoma"/>
        </w:rPr>
      </w:pPr>
      <w:bookmarkStart w:id="24" w:name="_Toc354998617"/>
      <w:bookmarkStart w:id="25" w:name="_Toc438114542"/>
      <w:r w:rsidRPr="00360F70">
        <w:rPr>
          <w:rFonts w:ascii="Verdana" w:hAnsi="Verdana"/>
        </w:rPr>
        <w:lastRenderedPageBreak/>
        <w:t>Riskbedömning</w:t>
      </w:r>
      <w:bookmarkEnd w:id="24"/>
      <w:bookmarkEnd w:id="25"/>
      <w:r w:rsidRPr="00360F70">
        <w:rPr>
          <w:rFonts w:ascii="Verdana" w:hAnsi="Verdana"/>
        </w:rPr>
        <w:t xml:space="preserve"> </w:t>
      </w:r>
    </w:p>
    <w:p w:rsidR="002E52C2" w:rsidRPr="00360F70" w:rsidRDefault="002E52C2" w:rsidP="002E52C2">
      <w:pPr>
        <w:rPr>
          <w:rFonts w:ascii="Verdana" w:hAnsi="Verdana"/>
        </w:rPr>
      </w:pPr>
    </w:p>
    <w:p w:rsidR="00B631D4" w:rsidRPr="00360F70" w:rsidRDefault="00CC0085" w:rsidP="00DD7B4B">
      <w:pPr>
        <w:pStyle w:val="Heading2"/>
        <w:tabs>
          <w:tab w:val="clear" w:pos="709"/>
          <w:tab w:val="num" w:pos="697"/>
        </w:tabs>
        <w:rPr>
          <w:rFonts w:ascii="Verdana" w:hAnsi="Verdana"/>
        </w:rPr>
      </w:pPr>
      <w:bookmarkStart w:id="26" w:name="_Toc354998618"/>
      <w:bookmarkStart w:id="27" w:name="_Toc438114543"/>
      <w:r w:rsidRPr="00360F70">
        <w:rPr>
          <w:rFonts w:ascii="Verdana" w:hAnsi="Verdana"/>
        </w:rPr>
        <w:t>EBB har bedömt att följande inkommande material ska omfattas av en riskbedömning av säkerheten i foderkedjan</w:t>
      </w:r>
      <w:bookmarkEnd w:id="26"/>
      <w:bookmarkEnd w:id="27"/>
    </w:p>
    <w:p w:rsidR="00D10ECC" w:rsidRPr="00360F70" w:rsidRDefault="00D10ECC" w:rsidP="00D10ECC">
      <w:pPr>
        <w:rPr>
          <w:rFonts w:ascii="Verdana" w:hAnsi="Verdana"/>
        </w:rPr>
      </w:pPr>
    </w:p>
    <w:p w:rsidR="00CC0085" w:rsidRPr="00360F70" w:rsidRDefault="0044051E" w:rsidP="0044051E">
      <w:pPr>
        <w:rPr>
          <w:rFonts w:ascii="Verdana" w:hAnsi="Verdana"/>
        </w:rPr>
      </w:pPr>
      <w:r w:rsidRPr="00360F70">
        <w:rPr>
          <w:rFonts w:ascii="Verdana" w:hAnsi="Verdana"/>
        </w:rPr>
        <w:t xml:space="preserve">Råvaror: Vegetabiliska oljor </w:t>
      </w:r>
    </w:p>
    <w:p w:rsidR="00CB1F06" w:rsidRPr="00360F70" w:rsidRDefault="00DD7B4B" w:rsidP="00DD7B4B">
      <w:pPr>
        <w:pStyle w:val="NormalWeb"/>
        <w:jc w:val="both"/>
        <w:rPr>
          <w:rFonts w:ascii="Verdana" w:hAnsi="Verdana"/>
          <w:color w:val="auto"/>
        </w:rPr>
      </w:pPr>
      <w:r w:rsidRPr="00360F70">
        <w:rPr>
          <w:rFonts w:ascii="Verdana" w:hAnsi="Verdana"/>
          <w:color w:val="auto"/>
        </w:rPr>
        <w:t xml:space="preserve">Alla biodieselanläggningar förväntas följa kraven på riskbedömningar. En tabell över olika faror finns i </w:t>
      </w:r>
      <w:hyperlink r:id="rId19" w:anchor="appendix1">
        <w:r w:rsidRPr="00360F70">
          <w:rPr>
            <w:rStyle w:val="Hyperlink"/>
            <w:rFonts w:ascii="Verdana" w:hAnsi="Verdana"/>
            <w:color w:val="auto"/>
            <w:u w:val="none"/>
          </w:rPr>
          <w:t>bilaga 1,</w:t>
        </w:r>
      </w:hyperlink>
      <w:r w:rsidRPr="00360F70">
        <w:rPr>
          <w:rFonts w:ascii="Verdana" w:hAnsi="Verdana"/>
          <w:color w:val="auto"/>
        </w:rPr>
        <w:t xml:space="preserve"> men det är viktigt att notera att denna lista </w:t>
      </w:r>
      <w:r w:rsidRPr="00360F70">
        <w:rPr>
          <w:rStyle w:val="Strong"/>
          <w:rFonts w:ascii="Verdana" w:hAnsi="Verdana"/>
          <w:b w:val="0"/>
          <w:color w:val="auto"/>
        </w:rPr>
        <w:t>inte</w:t>
      </w:r>
      <w:r w:rsidRPr="00360F70">
        <w:rPr>
          <w:rFonts w:ascii="Verdana" w:hAnsi="Verdana"/>
          <w:color w:val="auto"/>
        </w:rPr>
        <w:t xml:space="preserve"> är uttömmande och att varje aktör ska utföra en egen riskbedömning. Ytterligare information om specifika faror och kontrollåtgärder finns i relevanta publikationer från HSE och i EU-förordningarna i riskbedömningstabellerna.</w:t>
      </w:r>
    </w:p>
    <w:p w:rsidR="00E016F1" w:rsidRPr="00360F70" w:rsidRDefault="00E016F1" w:rsidP="00E0569C">
      <w:pPr>
        <w:pStyle w:val="Heading2"/>
      </w:pPr>
      <w:bookmarkStart w:id="28" w:name="Summery_risk_approach"/>
      <w:bookmarkStart w:id="29" w:name="_Toc354998619"/>
      <w:bookmarkStart w:id="30" w:name="_Toc438114544"/>
      <w:r w:rsidRPr="00360F70">
        <w:t>Sammanfattning av den riskbaserade strategin för biodieselsektorn</w:t>
      </w:r>
      <w:bookmarkEnd w:id="28"/>
      <w:bookmarkEnd w:id="29"/>
      <w:bookmarkEnd w:id="30"/>
    </w:p>
    <w:p w:rsidR="00E016F1" w:rsidRPr="00360F70" w:rsidRDefault="00E016F1" w:rsidP="00E016F1">
      <w:pPr>
        <w:jc w:val="both"/>
        <w:rPr>
          <w:rFonts w:ascii="Verdana" w:hAnsi="Verdana"/>
          <w:szCs w:val="20"/>
        </w:rPr>
      </w:pPr>
    </w:p>
    <w:p w:rsidR="00E016F1" w:rsidRPr="00360F70" w:rsidRDefault="00E016F1" w:rsidP="00E016F1">
      <w:pPr>
        <w:jc w:val="both"/>
        <w:rPr>
          <w:rFonts w:ascii="Verdana" w:hAnsi="Verdana"/>
          <w:szCs w:val="20"/>
        </w:rPr>
      </w:pPr>
      <w:r w:rsidRPr="00360F70">
        <w:rPr>
          <w:rFonts w:ascii="Verdana" w:hAnsi="Verdana"/>
        </w:rPr>
        <w:t xml:space="preserve">När en förteckning över potentiella </w:t>
      </w:r>
      <w:r w:rsidR="001026C8">
        <w:rPr>
          <w:rFonts w:ascii="Verdana" w:hAnsi="Verdana"/>
        </w:rPr>
        <w:t>faror</w:t>
      </w:r>
      <w:r w:rsidRPr="00360F70">
        <w:rPr>
          <w:rFonts w:ascii="Verdana" w:hAnsi="Verdana"/>
        </w:rPr>
        <w:t xml:space="preserve"> utarbetas bör aktören ta hänsyn till:</w:t>
      </w:r>
    </w:p>
    <w:p w:rsidR="00E016F1" w:rsidRPr="00360F70" w:rsidRDefault="00E016F1" w:rsidP="00E016F1">
      <w:pPr>
        <w:jc w:val="both"/>
        <w:rPr>
          <w:rFonts w:ascii="Verdana" w:hAnsi="Verdana"/>
          <w:szCs w:val="20"/>
        </w:rPr>
      </w:pPr>
    </w:p>
    <w:p w:rsidR="00E016F1" w:rsidRPr="00360F70" w:rsidRDefault="00E016F1" w:rsidP="001C3A68">
      <w:pPr>
        <w:numPr>
          <w:ilvl w:val="0"/>
          <w:numId w:val="39"/>
        </w:numPr>
        <w:jc w:val="both"/>
        <w:rPr>
          <w:rFonts w:ascii="Verdana" w:hAnsi="Verdana"/>
          <w:szCs w:val="20"/>
        </w:rPr>
      </w:pPr>
      <w:r w:rsidRPr="00360F70">
        <w:rPr>
          <w:rFonts w:ascii="Verdana" w:hAnsi="Verdana"/>
        </w:rPr>
        <w:t xml:space="preserve">Direktiv 2002/32/EG om främmande ämnen i foder. </w:t>
      </w:r>
    </w:p>
    <w:p w:rsidR="00E016F1" w:rsidRPr="00360F70" w:rsidRDefault="00E016F1" w:rsidP="001C3A68">
      <w:pPr>
        <w:numPr>
          <w:ilvl w:val="0"/>
          <w:numId w:val="39"/>
        </w:numPr>
        <w:autoSpaceDE w:val="0"/>
        <w:autoSpaceDN w:val="0"/>
        <w:adjustRightInd w:val="0"/>
        <w:spacing w:before="80" w:after="80"/>
        <w:jc w:val="both"/>
        <w:rPr>
          <w:rFonts w:ascii="Verdana" w:hAnsi="Verdana"/>
          <w:szCs w:val="20"/>
        </w:rPr>
      </w:pPr>
      <w:r w:rsidRPr="00360F70">
        <w:rPr>
          <w:rFonts w:ascii="Verdana" w:hAnsi="Verdana"/>
        </w:rPr>
        <w:t>Förordning (EG) nr 1829/2003 om genetiskt modifierade livsmedel och foder.</w:t>
      </w:r>
    </w:p>
    <w:p w:rsidR="00E016F1" w:rsidRPr="00360F70" w:rsidRDefault="00E016F1" w:rsidP="001C3A68">
      <w:pPr>
        <w:numPr>
          <w:ilvl w:val="0"/>
          <w:numId w:val="39"/>
        </w:numPr>
        <w:autoSpaceDE w:val="0"/>
        <w:autoSpaceDN w:val="0"/>
        <w:adjustRightInd w:val="0"/>
        <w:spacing w:before="80" w:after="80"/>
        <w:jc w:val="both"/>
        <w:rPr>
          <w:rFonts w:ascii="Verdana" w:hAnsi="Verdana" w:cs="Arial"/>
          <w:szCs w:val="20"/>
        </w:rPr>
      </w:pPr>
      <w:r w:rsidRPr="00360F70">
        <w:rPr>
          <w:rFonts w:ascii="Verdana" w:hAnsi="Verdana"/>
        </w:rPr>
        <w:t>Förordning (EG) nr 767/2009 om utsläppande på marknaden och användning av foder.</w:t>
      </w:r>
    </w:p>
    <w:p w:rsidR="00842911" w:rsidRPr="00360F70" w:rsidRDefault="00E016F1" w:rsidP="001C3A68">
      <w:pPr>
        <w:numPr>
          <w:ilvl w:val="0"/>
          <w:numId w:val="39"/>
        </w:numPr>
        <w:autoSpaceDE w:val="0"/>
        <w:autoSpaceDN w:val="0"/>
        <w:adjustRightInd w:val="0"/>
        <w:spacing w:before="80" w:after="80"/>
        <w:jc w:val="both"/>
        <w:rPr>
          <w:rFonts w:ascii="Verdana" w:hAnsi="Verdana"/>
          <w:szCs w:val="20"/>
        </w:rPr>
      </w:pPr>
      <w:r w:rsidRPr="00360F70">
        <w:rPr>
          <w:rFonts w:ascii="Verdana" w:hAnsi="Verdana"/>
        </w:rPr>
        <w:t>Förordning (EG) nr 396/2005 om gränsvärden för bekämpningsmedelsrester i eller på livsmedel och foder med vegetabiliskt eller animaliskt ursprung.</w:t>
      </w:r>
    </w:p>
    <w:p w:rsidR="00842911" w:rsidRPr="00360F70" w:rsidRDefault="00842911" w:rsidP="001C3A68">
      <w:pPr>
        <w:numPr>
          <w:ilvl w:val="0"/>
          <w:numId w:val="39"/>
        </w:numPr>
        <w:autoSpaceDE w:val="0"/>
        <w:autoSpaceDN w:val="0"/>
        <w:adjustRightInd w:val="0"/>
        <w:spacing w:before="80" w:after="80"/>
        <w:jc w:val="both"/>
        <w:rPr>
          <w:rFonts w:ascii="Verdana" w:hAnsi="Verdana"/>
          <w:szCs w:val="20"/>
        </w:rPr>
      </w:pPr>
      <w:r w:rsidRPr="00360F70">
        <w:rPr>
          <w:rFonts w:ascii="Verdana" w:hAnsi="Verdana"/>
        </w:rPr>
        <w:t>Förordning (EU) nr 68/2013 om en förteckning över foderråvaror.</w:t>
      </w:r>
    </w:p>
    <w:p w:rsidR="005C6B94" w:rsidRPr="00360F70" w:rsidRDefault="005C6B94" w:rsidP="001C3A68">
      <w:pPr>
        <w:numPr>
          <w:ilvl w:val="0"/>
          <w:numId w:val="39"/>
        </w:numPr>
        <w:autoSpaceDE w:val="0"/>
        <w:autoSpaceDN w:val="0"/>
        <w:adjustRightInd w:val="0"/>
        <w:spacing w:before="80" w:after="80"/>
        <w:jc w:val="both"/>
        <w:rPr>
          <w:rFonts w:ascii="Verdana" w:hAnsi="Verdana"/>
          <w:szCs w:val="20"/>
        </w:rPr>
      </w:pPr>
      <w:r w:rsidRPr="00360F70">
        <w:rPr>
          <w:rFonts w:ascii="Verdana" w:hAnsi="Verdana"/>
        </w:rPr>
        <w:t>Förordning (EU) nr 225/2012 om godkännande av anläggningar som släpper ut produkter framställda av vegetabiliska oljor och blandade fetter på marknaden för användning i foder och vad gäller de särskilda krav på produktion, lagring och transport av oljor, fetter och produkter framställda därav</w:t>
      </w:r>
    </w:p>
    <w:p w:rsidR="00E016F1" w:rsidRPr="00360F70" w:rsidRDefault="00E016F1" w:rsidP="00E016F1">
      <w:pPr>
        <w:jc w:val="both"/>
        <w:rPr>
          <w:rFonts w:ascii="Verdana" w:hAnsi="Verdana"/>
          <w:szCs w:val="20"/>
        </w:rPr>
      </w:pPr>
    </w:p>
    <w:p w:rsidR="00E016F1" w:rsidRPr="00360F70" w:rsidRDefault="00E016F1" w:rsidP="00E016F1">
      <w:pPr>
        <w:jc w:val="both"/>
        <w:rPr>
          <w:rFonts w:ascii="Verdana" w:hAnsi="Verdana"/>
          <w:szCs w:val="20"/>
        </w:rPr>
      </w:pPr>
      <w:r w:rsidRPr="00360F70">
        <w:rPr>
          <w:rFonts w:ascii="Verdana" w:hAnsi="Verdana"/>
        </w:rPr>
        <w:t>Följande förteckning över exempel på risker är inte uttömmande och bör tillämpas med beaktande av rådande omständigheter.</w:t>
      </w:r>
    </w:p>
    <w:p w:rsidR="00E016F1" w:rsidRPr="00360F70" w:rsidRDefault="00E016F1" w:rsidP="00E016F1">
      <w:pPr>
        <w:rPr>
          <w:rFonts w:ascii="Verdana" w:hAnsi="Verdana"/>
          <w:szCs w:val="20"/>
        </w:rPr>
      </w:pPr>
    </w:p>
    <w:p w:rsidR="00E016F1" w:rsidRPr="00360F70" w:rsidRDefault="00E016F1" w:rsidP="00E016F1">
      <w:pPr>
        <w:rPr>
          <w:rFonts w:ascii="Verdana" w:hAnsi="Verdana"/>
          <w:b/>
          <w:bCs/>
          <w:iCs/>
          <w:szCs w:val="20"/>
        </w:rPr>
      </w:pPr>
      <w:r w:rsidRPr="00360F70">
        <w:rPr>
          <w:rFonts w:ascii="Verdana" w:hAnsi="Verdana"/>
          <w:b/>
        </w:rPr>
        <w:t xml:space="preserve">Biologiska </w:t>
      </w:r>
      <w:r w:rsidR="001026C8">
        <w:rPr>
          <w:rFonts w:ascii="Verdana" w:hAnsi="Verdana"/>
          <w:b/>
        </w:rPr>
        <w:t>faror</w:t>
      </w:r>
    </w:p>
    <w:p w:rsidR="00E016F1" w:rsidRPr="00360F70" w:rsidRDefault="00E016F1" w:rsidP="00E016F1">
      <w:pPr>
        <w:rPr>
          <w:rFonts w:ascii="Verdana" w:hAnsi="Verdana"/>
          <w:szCs w:val="20"/>
        </w:rPr>
      </w:pPr>
    </w:p>
    <w:p w:rsidR="00E016F1" w:rsidRPr="00360F70" w:rsidRDefault="00E016F1" w:rsidP="001C3A68">
      <w:pPr>
        <w:numPr>
          <w:ilvl w:val="0"/>
          <w:numId w:val="40"/>
        </w:numPr>
        <w:jc w:val="both"/>
        <w:rPr>
          <w:rFonts w:ascii="Verdana" w:hAnsi="Verdana"/>
          <w:szCs w:val="20"/>
        </w:rPr>
      </w:pPr>
      <w:r w:rsidRPr="00360F70">
        <w:rPr>
          <w:rFonts w:ascii="Verdana" w:hAnsi="Verdana"/>
        </w:rPr>
        <w:t xml:space="preserve">Relevanta vegetativa patogener enligt förordningen om </w:t>
      </w:r>
      <w:r w:rsidR="009D7C0A">
        <w:rPr>
          <w:rFonts w:ascii="Verdana" w:hAnsi="Verdana"/>
        </w:rPr>
        <w:t>foderhygien</w:t>
      </w:r>
      <w:r w:rsidRPr="00360F70">
        <w:rPr>
          <w:rFonts w:ascii="Verdana" w:hAnsi="Verdana"/>
        </w:rPr>
        <w:t xml:space="preserve"> och tillhörande mikrobiologiska kriterier.</w:t>
      </w:r>
    </w:p>
    <w:p w:rsidR="00E016F1" w:rsidRPr="00360F70" w:rsidRDefault="00E016F1" w:rsidP="00E016F1">
      <w:pPr>
        <w:ind w:left="360"/>
        <w:jc w:val="both"/>
        <w:rPr>
          <w:rFonts w:ascii="Verdana" w:hAnsi="Verdana"/>
          <w:szCs w:val="20"/>
        </w:rPr>
      </w:pPr>
    </w:p>
    <w:p w:rsidR="00E016F1" w:rsidRPr="00360F70" w:rsidRDefault="00E016F1" w:rsidP="00E016F1">
      <w:pPr>
        <w:rPr>
          <w:rFonts w:ascii="Verdana" w:hAnsi="Verdana"/>
          <w:b/>
          <w:bCs/>
          <w:iCs/>
          <w:szCs w:val="20"/>
        </w:rPr>
      </w:pPr>
      <w:r w:rsidRPr="00360F70">
        <w:rPr>
          <w:rFonts w:ascii="Verdana" w:hAnsi="Verdana"/>
          <w:b/>
        </w:rPr>
        <w:t xml:space="preserve">Potentiella kemiska </w:t>
      </w:r>
      <w:r w:rsidR="001026C8">
        <w:rPr>
          <w:rFonts w:ascii="Verdana" w:hAnsi="Verdana"/>
          <w:b/>
        </w:rPr>
        <w:t>faror</w:t>
      </w:r>
    </w:p>
    <w:p w:rsidR="00E016F1" w:rsidRPr="00360F70" w:rsidRDefault="00E016F1" w:rsidP="001C3A68">
      <w:pPr>
        <w:numPr>
          <w:ilvl w:val="0"/>
          <w:numId w:val="41"/>
        </w:numPr>
        <w:spacing w:before="120"/>
        <w:jc w:val="both"/>
        <w:rPr>
          <w:rFonts w:ascii="Verdana" w:hAnsi="Verdana"/>
          <w:szCs w:val="20"/>
        </w:rPr>
      </w:pPr>
      <w:r w:rsidRPr="00360F70">
        <w:rPr>
          <w:rFonts w:ascii="Verdana" w:hAnsi="Verdana"/>
        </w:rPr>
        <w:t xml:space="preserve">Processkemikalier, processhjälpmedel och antioxidanter. </w:t>
      </w:r>
    </w:p>
    <w:p w:rsidR="00E016F1" w:rsidRPr="00360F70" w:rsidRDefault="00E016F1" w:rsidP="001C3A68">
      <w:pPr>
        <w:numPr>
          <w:ilvl w:val="0"/>
          <w:numId w:val="41"/>
        </w:numPr>
        <w:spacing w:before="120"/>
        <w:rPr>
          <w:rFonts w:ascii="Verdana" w:hAnsi="Verdana"/>
          <w:szCs w:val="20"/>
        </w:rPr>
      </w:pPr>
      <w:r w:rsidRPr="00360F70">
        <w:rPr>
          <w:rFonts w:ascii="Verdana" w:hAnsi="Verdana"/>
        </w:rPr>
        <w:t>Mykotoxin.</w:t>
      </w:r>
    </w:p>
    <w:p w:rsidR="00E016F1" w:rsidRPr="00360F70" w:rsidRDefault="00E016F1" w:rsidP="001C3A68">
      <w:pPr>
        <w:numPr>
          <w:ilvl w:val="0"/>
          <w:numId w:val="41"/>
        </w:numPr>
        <w:spacing w:before="120"/>
        <w:rPr>
          <w:rFonts w:ascii="Verdana" w:hAnsi="Verdana"/>
          <w:szCs w:val="20"/>
        </w:rPr>
      </w:pPr>
      <w:r w:rsidRPr="00360F70">
        <w:rPr>
          <w:rFonts w:ascii="Verdana" w:hAnsi="Verdana"/>
        </w:rPr>
        <w:t>Tungmetaller.</w:t>
      </w:r>
    </w:p>
    <w:p w:rsidR="00E016F1" w:rsidRPr="00360F70" w:rsidRDefault="00E016F1" w:rsidP="001C3A68">
      <w:pPr>
        <w:numPr>
          <w:ilvl w:val="0"/>
          <w:numId w:val="41"/>
        </w:numPr>
        <w:spacing w:before="120"/>
        <w:rPr>
          <w:rFonts w:ascii="Verdana" w:hAnsi="Verdana"/>
          <w:szCs w:val="20"/>
        </w:rPr>
      </w:pPr>
      <w:r w:rsidRPr="00360F70">
        <w:rPr>
          <w:rFonts w:ascii="Verdana" w:hAnsi="Verdana"/>
        </w:rPr>
        <w:t>Rester från bekämpningsmedel.</w:t>
      </w:r>
    </w:p>
    <w:p w:rsidR="00E016F1" w:rsidRPr="00360F70" w:rsidRDefault="00E016F1" w:rsidP="001C3A68">
      <w:pPr>
        <w:numPr>
          <w:ilvl w:val="0"/>
          <w:numId w:val="41"/>
        </w:numPr>
        <w:spacing w:before="120"/>
        <w:rPr>
          <w:rFonts w:ascii="Verdana" w:hAnsi="Verdana"/>
          <w:szCs w:val="20"/>
        </w:rPr>
      </w:pPr>
      <w:r w:rsidRPr="00360F70">
        <w:rPr>
          <w:rFonts w:ascii="Verdana" w:hAnsi="Verdana"/>
        </w:rPr>
        <w:t>PCB, dioxiner.</w:t>
      </w:r>
    </w:p>
    <w:p w:rsidR="00E016F1" w:rsidRPr="00360F70" w:rsidRDefault="00E016F1" w:rsidP="001C3A68">
      <w:pPr>
        <w:numPr>
          <w:ilvl w:val="0"/>
          <w:numId w:val="41"/>
        </w:numPr>
        <w:spacing w:before="120"/>
        <w:rPr>
          <w:rFonts w:ascii="Verdana" w:hAnsi="Verdana"/>
          <w:szCs w:val="20"/>
        </w:rPr>
      </w:pPr>
      <w:r w:rsidRPr="00360F70">
        <w:rPr>
          <w:rFonts w:ascii="Verdana" w:hAnsi="Verdana"/>
        </w:rPr>
        <w:t xml:space="preserve">Polycykliska aromatiska kolväten (PAH). </w:t>
      </w:r>
    </w:p>
    <w:p w:rsidR="00E016F1" w:rsidRPr="00360F70" w:rsidRDefault="00FC7C00" w:rsidP="001C3A68">
      <w:pPr>
        <w:numPr>
          <w:ilvl w:val="0"/>
          <w:numId w:val="41"/>
        </w:numPr>
        <w:spacing w:before="120"/>
        <w:rPr>
          <w:rFonts w:ascii="Verdana" w:hAnsi="Verdana"/>
          <w:szCs w:val="20"/>
        </w:rPr>
      </w:pPr>
      <w:r w:rsidRPr="00360F70">
        <w:rPr>
          <w:rFonts w:ascii="Verdana" w:hAnsi="Verdana"/>
        </w:rPr>
        <w:t>Smörjmedel (ej av livsmedelskvalitet).</w:t>
      </w:r>
    </w:p>
    <w:p w:rsidR="00E016F1" w:rsidRPr="00360F70" w:rsidRDefault="00E016F1" w:rsidP="001C3A68">
      <w:pPr>
        <w:numPr>
          <w:ilvl w:val="0"/>
          <w:numId w:val="41"/>
        </w:numPr>
        <w:spacing w:before="120"/>
        <w:rPr>
          <w:rFonts w:ascii="Verdana" w:hAnsi="Verdana"/>
          <w:szCs w:val="20"/>
        </w:rPr>
      </w:pPr>
      <w:r w:rsidRPr="00360F70">
        <w:rPr>
          <w:rFonts w:ascii="Verdana" w:hAnsi="Verdana"/>
        </w:rPr>
        <w:t>Kemikalier för skadedjursbekämpning.</w:t>
      </w:r>
    </w:p>
    <w:p w:rsidR="00E016F1" w:rsidRPr="00360F70" w:rsidRDefault="00E016F1" w:rsidP="00E016F1">
      <w:pPr>
        <w:rPr>
          <w:rFonts w:ascii="Verdana" w:hAnsi="Verdana"/>
          <w:b/>
          <w:bCs/>
          <w:i/>
          <w:iCs/>
          <w:szCs w:val="20"/>
        </w:rPr>
      </w:pPr>
    </w:p>
    <w:p w:rsidR="00E016F1" w:rsidRPr="00360F70" w:rsidRDefault="00E016F1" w:rsidP="00E016F1">
      <w:pPr>
        <w:jc w:val="both"/>
        <w:rPr>
          <w:rFonts w:ascii="Verdana" w:hAnsi="Verdana"/>
          <w:bCs/>
          <w:iCs/>
          <w:szCs w:val="20"/>
        </w:rPr>
      </w:pPr>
      <w:r w:rsidRPr="00360F70">
        <w:rPr>
          <w:rFonts w:ascii="Verdana" w:hAnsi="Verdana"/>
        </w:rPr>
        <w:lastRenderedPageBreak/>
        <w:t xml:space="preserve">Användningen av processhjälpmedel ska ingå i den </w:t>
      </w:r>
      <w:r w:rsidR="001026C8">
        <w:rPr>
          <w:rFonts w:ascii="Verdana" w:hAnsi="Verdana"/>
        </w:rPr>
        <w:t>faro</w:t>
      </w:r>
      <w:r w:rsidRPr="00360F70">
        <w:rPr>
          <w:rFonts w:ascii="Verdana" w:hAnsi="Verdana"/>
        </w:rPr>
        <w:t>analys som utarbetas av aktören i enlighet med de krav som framgår av avsnitt 6 i riktlinjerna.</w:t>
      </w:r>
    </w:p>
    <w:p w:rsidR="00E016F1" w:rsidRPr="00360F70" w:rsidRDefault="00E016F1" w:rsidP="00E016F1">
      <w:pPr>
        <w:jc w:val="both"/>
        <w:rPr>
          <w:rFonts w:ascii="Verdana" w:hAnsi="Verdana"/>
          <w:bCs/>
          <w:iCs/>
          <w:szCs w:val="20"/>
        </w:rPr>
      </w:pPr>
    </w:p>
    <w:p w:rsidR="00E016F1" w:rsidRPr="00360F70" w:rsidRDefault="00E016F1" w:rsidP="00E016F1">
      <w:pPr>
        <w:jc w:val="both"/>
        <w:rPr>
          <w:rFonts w:ascii="Verdana" w:hAnsi="Verdana"/>
          <w:bCs/>
          <w:iCs/>
          <w:szCs w:val="20"/>
        </w:rPr>
      </w:pPr>
    </w:p>
    <w:p w:rsidR="00E016F1" w:rsidRPr="00360F70" w:rsidRDefault="00E016F1" w:rsidP="00E016F1">
      <w:pPr>
        <w:rPr>
          <w:rFonts w:ascii="Verdana" w:hAnsi="Verdana"/>
          <w:b/>
          <w:bCs/>
          <w:iCs/>
          <w:szCs w:val="20"/>
        </w:rPr>
      </w:pPr>
      <w:r w:rsidRPr="00360F70">
        <w:rPr>
          <w:rFonts w:ascii="Verdana" w:hAnsi="Verdana"/>
          <w:b/>
          <w:i/>
        </w:rPr>
        <w:t xml:space="preserve"> </w:t>
      </w:r>
      <w:r w:rsidRPr="00360F70">
        <w:rPr>
          <w:rFonts w:ascii="Verdana" w:hAnsi="Verdana"/>
          <w:b/>
        </w:rPr>
        <w:t>F</w:t>
      </w:r>
      <w:r w:rsidR="001026C8">
        <w:rPr>
          <w:rFonts w:ascii="Verdana" w:hAnsi="Verdana"/>
          <w:b/>
        </w:rPr>
        <w:t>ara för f</w:t>
      </w:r>
      <w:r w:rsidRPr="00360F70">
        <w:rPr>
          <w:rFonts w:ascii="Verdana" w:hAnsi="Verdana"/>
          <w:b/>
        </w:rPr>
        <w:t>ysisk kontaminering</w:t>
      </w:r>
    </w:p>
    <w:p w:rsidR="00E016F1" w:rsidRPr="00360F70" w:rsidRDefault="005C6B94" w:rsidP="001C3A68">
      <w:pPr>
        <w:numPr>
          <w:ilvl w:val="0"/>
          <w:numId w:val="42"/>
        </w:numPr>
        <w:spacing w:before="120"/>
        <w:rPr>
          <w:rFonts w:ascii="Verdana" w:hAnsi="Verdana"/>
          <w:szCs w:val="20"/>
        </w:rPr>
      </w:pPr>
      <w:r w:rsidRPr="00360F70">
        <w:rPr>
          <w:rFonts w:ascii="Verdana" w:hAnsi="Verdana"/>
        </w:rPr>
        <w:t>Fysisk kontaminering, t.ex. av metall eller glas.</w:t>
      </w:r>
    </w:p>
    <w:p w:rsidR="00E016F1" w:rsidRPr="00360F70" w:rsidRDefault="00E016F1" w:rsidP="00E016F1">
      <w:pPr>
        <w:spacing w:before="120"/>
        <w:rPr>
          <w:rFonts w:ascii="Verdana" w:hAnsi="Verdana"/>
          <w:szCs w:val="20"/>
        </w:rPr>
      </w:pPr>
    </w:p>
    <w:p w:rsidR="00E016F1" w:rsidRPr="00360F70" w:rsidRDefault="001026C8" w:rsidP="00E016F1">
      <w:pPr>
        <w:spacing w:before="120"/>
        <w:rPr>
          <w:rFonts w:ascii="Verdana" w:hAnsi="Verdana"/>
          <w:b/>
          <w:szCs w:val="20"/>
        </w:rPr>
      </w:pPr>
      <w:r>
        <w:rPr>
          <w:rFonts w:ascii="Verdana" w:hAnsi="Verdana"/>
          <w:b/>
        </w:rPr>
        <w:t>Fara</w:t>
      </w:r>
      <w:r w:rsidR="00E016F1" w:rsidRPr="00360F70">
        <w:rPr>
          <w:rFonts w:ascii="Verdana" w:hAnsi="Verdana"/>
          <w:b/>
        </w:rPr>
        <w:t xml:space="preserve"> för radioaktivitet</w:t>
      </w:r>
    </w:p>
    <w:p w:rsidR="00E016F1" w:rsidRPr="00360F70" w:rsidRDefault="00E016F1" w:rsidP="001C3A68">
      <w:pPr>
        <w:numPr>
          <w:ilvl w:val="0"/>
          <w:numId w:val="43"/>
        </w:numPr>
        <w:spacing w:before="120"/>
        <w:rPr>
          <w:rFonts w:ascii="Verdana" w:hAnsi="Verdana"/>
          <w:szCs w:val="20"/>
        </w:rPr>
      </w:pPr>
      <w:r w:rsidRPr="00360F70">
        <w:rPr>
          <w:rFonts w:ascii="Verdana" w:hAnsi="Verdana"/>
        </w:rPr>
        <w:t>Radionuklider (efter en kärnkraftsolycka).</w:t>
      </w:r>
    </w:p>
    <w:p w:rsidR="00E016F1" w:rsidRPr="00360F70" w:rsidRDefault="00E016F1" w:rsidP="00E016F1">
      <w:pPr>
        <w:rPr>
          <w:rFonts w:ascii="Verdana" w:hAnsi="Verdana"/>
          <w:szCs w:val="20"/>
        </w:rPr>
      </w:pPr>
    </w:p>
    <w:p w:rsidR="00E016F1" w:rsidRPr="00360F70" w:rsidRDefault="00E016F1" w:rsidP="00E0569C">
      <w:pPr>
        <w:pStyle w:val="Heading2"/>
      </w:pPr>
      <w:bookmarkStart w:id="31" w:name="Ris_base_approach"/>
      <w:bookmarkStart w:id="32" w:name="_Toc354998620"/>
      <w:bookmarkStart w:id="33" w:name="_Toc438114545"/>
      <w:r w:rsidRPr="00360F70">
        <w:t xml:space="preserve">Riskbaserad strategi </w:t>
      </w:r>
      <w:bookmarkEnd w:id="31"/>
      <w:r w:rsidRPr="00360F70">
        <w:t xml:space="preserve">för karakterisering av </w:t>
      </w:r>
      <w:r w:rsidR="001026C8">
        <w:t>faror</w:t>
      </w:r>
      <w:r w:rsidRPr="00360F70">
        <w:t xml:space="preserve"> för foderråvaror som kommer från biodieselproduktion</w:t>
      </w:r>
      <w:bookmarkEnd w:id="32"/>
      <w:bookmarkEnd w:id="33"/>
    </w:p>
    <w:p w:rsidR="00CB2462" w:rsidRPr="00360F70" w:rsidRDefault="00CB2462" w:rsidP="00E016F1">
      <w:pPr>
        <w:pStyle w:val="BodyTextIndent2"/>
        <w:tabs>
          <w:tab w:val="left" w:pos="0"/>
        </w:tabs>
        <w:spacing w:line="240" w:lineRule="auto"/>
        <w:ind w:left="0" w:right="360"/>
        <w:jc w:val="both"/>
        <w:rPr>
          <w:rFonts w:cs="Tahoma"/>
          <w:szCs w:val="20"/>
          <w:u w:val="single"/>
        </w:rPr>
      </w:pPr>
    </w:p>
    <w:p w:rsidR="00E016F1" w:rsidRPr="00360F70" w:rsidRDefault="00E016F1" w:rsidP="00E016F1">
      <w:pPr>
        <w:pStyle w:val="BodyTextIndent2"/>
        <w:tabs>
          <w:tab w:val="left" w:pos="0"/>
          <w:tab w:val="left" w:pos="9200"/>
        </w:tabs>
        <w:spacing w:line="240" w:lineRule="auto"/>
        <w:ind w:left="0" w:right="13"/>
        <w:jc w:val="both"/>
        <w:rPr>
          <w:rFonts w:ascii="Verdana" w:hAnsi="Verdana"/>
          <w:szCs w:val="20"/>
        </w:rPr>
      </w:pPr>
      <w:r w:rsidRPr="00360F70">
        <w:rPr>
          <w:rFonts w:ascii="Verdana" w:hAnsi="Verdana"/>
        </w:rPr>
        <w:t xml:space="preserve">Följande tabeller ger en översikt över olika </w:t>
      </w:r>
      <w:r w:rsidR="001026C8">
        <w:rPr>
          <w:rFonts w:ascii="Verdana" w:hAnsi="Verdana"/>
        </w:rPr>
        <w:t>faror</w:t>
      </w:r>
      <w:r w:rsidRPr="00360F70">
        <w:rPr>
          <w:rFonts w:ascii="Verdana" w:hAnsi="Verdana"/>
        </w:rPr>
        <w:t xml:space="preserve"> för produkter från biodieselframställning som säljs som foderråvaror. För att få ytterligare inblick i tabellerna för riskbedömning, se EFISC:s huvudtext, kapitel 6, HACCP-system.</w:t>
      </w:r>
    </w:p>
    <w:p w:rsidR="00E016F1" w:rsidRPr="00360F70" w:rsidRDefault="00E016F1" w:rsidP="00E016F1">
      <w:pPr>
        <w:jc w:val="both"/>
        <w:rPr>
          <w:rFonts w:ascii="Verdana" w:hAnsi="Verdana"/>
          <w:szCs w:val="20"/>
        </w:rPr>
      </w:pPr>
      <w:r w:rsidRPr="00360F70">
        <w:rPr>
          <w:rFonts w:ascii="Verdana" w:hAnsi="Verdana"/>
        </w:rPr>
        <w:t xml:space="preserve">Beskrivningen av riskerna kan inte anses vara fullständig och riskerna kan variera mellan olika biodieselproducenter beroende på individuella och specifika produktionsförutsättningar. </w:t>
      </w:r>
    </w:p>
    <w:p w:rsidR="00E016F1" w:rsidRPr="00360F70" w:rsidRDefault="00E016F1" w:rsidP="00E016F1">
      <w:pPr>
        <w:jc w:val="both"/>
        <w:rPr>
          <w:rFonts w:ascii="Verdana" w:hAnsi="Verdana"/>
          <w:szCs w:val="20"/>
        </w:rPr>
      </w:pPr>
    </w:p>
    <w:p w:rsidR="00E016F1" w:rsidRPr="00360F70" w:rsidRDefault="00E016F1" w:rsidP="00E016F1">
      <w:pPr>
        <w:jc w:val="both"/>
        <w:rPr>
          <w:rFonts w:ascii="Verdana" w:hAnsi="Verdana"/>
          <w:szCs w:val="20"/>
        </w:rPr>
      </w:pPr>
      <w:r w:rsidRPr="00360F70">
        <w:rPr>
          <w:rFonts w:ascii="Verdana" w:hAnsi="Verdana"/>
        </w:rPr>
        <w:t>Biodieselproducenterna har utarbetat riskbeskrivningen till en nivå som är lämplig för deras specifika driftförutsättningar.</w:t>
      </w:r>
    </w:p>
    <w:p w:rsidR="00E016F1" w:rsidRPr="00360F70" w:rsidRDefault="00E016F1" w:rsidP="00E016F1">
      <w:pPr>
        <w:jc w:val="both"/>
        <w:rPr>
          <w:rFonts w:ascii="Verdana" w:hAnsi="Verdana"/>
          <w:szCs w:val="20"/>
        </w:rPr>
      </w:pPr>
    </w:p>
    <w:p w:rsidR="00E016F1" w:rsidRPr="00360F70" w:rsidRDefault="00E016F1" w:rsidP="00E016F1">
      <w:pPr>
        <w:jc w:val="both"/>
        <w:rPr>
          <w:rFonts w:ascii="Verdana" w:hAnsi="Verdana"/>
          <w:szCs w:val="20"/>
        </w:rPr>
      </w:pPr>
    </w:p>
    <w:p w:rsidR="00E016F1" w:rsidRPr="00360F70" w:rsidRDefault="00E016F1" w:rsidP="00E016F1">
      <w:pPr>
        <w:spacing w:before="120"/>
        <w:jc w:val="both"/>
        <w:rPr>
          <w:rFonts w:ascii="Verdana" w:hAnsi="Verdana"/>
          <w:szCs w:val="20"/>
        </w:rPr>
      </w:pPr>
      <w:r w:rsidRPr="00360F70">
        <w:rPr>
          <w:rFonts w:ascii="Verdana" w:hAnsi="Verdana"/>
        </w:rPr>
        <w:t xml:space="preserve">Följande tre farokategorier har beaktats: </w:t>
      </w:r>
    </w:p>
    <w:p w:rsidR="00E016F1" w:rsidRPr="00360F70" w:rsidRDefault="00E016F1" w:rsidP="001C3A68">
      <w:pPr>
        <w:pStyle w:val="ListParagraph"/>
        <w:numPr>
          <w:ilvl w:val="0"/>
          <w:numId w:val="44"/>
        </w:numPr>
        <w:spacing w:before="120"/>
        <w:jc w:val="both"/>
        <w:rPr>
          <w:rFonts w:ascii="Verdana" w:hAnsi="Verdana"/>
          <w:szCs w:val="20"/>
        </w:rPr>
      </w:pPr>
      <w:r w:rsidRPr="00360F70">
        <w:rPr>
          <w:rFonts w:ascii="Verdana" w:hAnsi="Verdana"/>
        </w:rPr>
        <w:t xml:space="preserve">Biologiska </w:t>
      </w:r>
      <w:r w:rsidR="001026C8">
        <w:rPr>
          <w:rFonts w:ascii="Verdana" w:hAnsi="Verdana"/>
        </w:rPr>
        <w:t>faror</w:t>
      </w:r>
      <w:r w:rsidRPr="00360F70">
        <w:rPr>
          <w:rFonts w:ascii="Verdana" w:hAnsi="Verdana"/>
        </w:rPr>
        <w:t xml:space="preserve"> (B)</w:t>
      </w:r>
    </w:p>
    <w:p w:rsidR="00E016F1" w:rsidRPr="00360F70" w:rsidRDefault="00E016F1" w:rsidP="001C3A68">
      <w:pPr>
        <w:pStyle w:val="ListParagraph"/>
        <w:numPr>
          <w:ilvl w:val="0"/>
          <w:numId w:val="44"/>
        </w:numPr>
        <w:spacing w:before="120"/>
        <w:jc w:val="both"/>
        <w:rPr>
          <w:rFonts w:ascii="Verdana" w:hAnsi="Verdana"/>
          <w:szCs w:val="20"/>
        </w:rPr>
      </w:pPr>
      <w:r w:rsidRPr="00360F70">
        <w:rPr>
          <w:rFonts w:ascii="Verdana" w:hAnsi="Verdana"/>
        </w:rPr>
        <w:t xml:space="preserve">Kemiska </w:t>
      </w:r>
      <w:r w:rsidR="001026C8">
        <w:rPr>
          <w:rFonts w:ascii="Verdana" w:hAnsi="Verdana"/>
        </w:rPr>
        <w:t>faror</w:t>
      </w:r>
      <w:r w:rsidRPr="00360F70">
        <w:rPr>
          <w:rFonts w:ascii="Verdana" w:hAnsi="Verdana"/>
        </w:rPr>
        <w:t xml:space="preserve"> (C) </w:t>
      </w:r>
    </w:p>
    <w:p w:rsidR="00E016F1" w:rsidRPr="00360F70" w:rsidRDefault="00E016F1" w:rsidP="001C3A68">
      <w:pPr>
        <w:pStyle w:val="ListParagraph"/>
        <w:numPr>
          <w:ilvl w:val="0"/>
          <w:numId w:val="44"/>
        </w:numPr>
        <w:spacing w:before="120"/>
        <w:jc w:val="both"/>
        <w:rPr>
          <w:rFonts w:ascii="Verdana" w:hAnsi="Verdana"/>
          <w:szCs w:val="20"/>
        </w:rPr>
      </w:pPr>
      <w:r w:rsidRPr="00360F70">
        <w:rPr>
          <w:rFonts w:ascii="Verdana" w:hAnsi="Verdana"/>
        </w:rPr>
        <w:t xml:space="preserve">Fysiska </w:t>
      </w:r>
      <w:r w:rsidR="001026C8">
        <w:rPr>
          <w:rFonts w:ascii="Verdana" w:hAnsi="Verdana"/>
        </w:rPr>
        <w:t>faror</w:t>
      </w:r>
      <w:r w:rsidRPr="00360F70">
        <w:rPr>
          <w:rFonts w:ascii="Verdana" w:hAnsi="Verdana"/>
        </w:rPr>
        <w:t xml:space="preserve"> (P)</w:t>
      </w:r>
    </w:p>
    <w:p w:rsidR="00E4063B" w:rsidRPr="00360F70" w:rsidRDefault="007C09D3" w:rsidP="002E52C2">
      <w:pPr>
        <w:rPr>
          <w:rFonts w:ascii="Verdana" w:hAnsi="Verdana"/>
          <w:b/>
        </w:rPr>
      </w:pPr>
      <w:r w:rsidRPr="00360F70">
        <w:br w:type="page"/>
      </w:r>
    </w:p>
    <w:p w:rsidR="00B631D4" w:rsidRPr="00360F70" w:rsidRDefault="00B631D4" w:rsidP="00E0569C">
      <w:pPr>
        <w:pStyle w:val="Heading2"/>
        <w:rPr>
          <w:rFonts w:ascii="Verdana" w:hAnsi="Verdana"/>
        </w:rPr>
      </w:pPr>
      <w:bookmarkStart w:id="34" w:name="_Toc354998621"/>
      <w:bookmarkStart w:id="35" w:name="_Toc438114546"/>
      <w:r w:rsidRPr="00360F70">
        <w:rPr>
          <w:rFonts w:ascii="Verdana" w:hAnsi="Verdana"/>
        </w:rPr>
        <w:lastRenderedPageBreak/>
        <w:t>Hur man genomför en riskbedömning</w:t>
      </w:r>
      <w:bookmarkEnd w:id="34"/>
      <w:bookmarkEnd w:id="35"/>
    </w:p>
    <w:p w:rsidR="00E0569C" w:rsidRPr="00360F70" w:rsidRDefault="00E0569C" w:rsidP="00E0569C">
      <w:pPr>
        <w:pStyle w:val="Heading2"/>
        <w:numPr>
          <w:ilvl w:val="0"/>
          <w:numId w:val="0"/>
        </w:numPr>
        <w:rPr>
          <w:rFonts w:ascii="Verdana" w:hAnsi="Verdana"/>
        </w:rPr>
      </w:pPr>
      <w:bookmarkStart w:id="36" w:name="_Toc348535624"/>
      <w:bookmarkStart w:id="37" w:name="_Toc349810400"/>
    </w:p>
    <w:p w:rsidR="00AB1F25" w:rsidRPr="00360F70" w:rsidRDefault="00AB1F25" w:rsidP="00784AA7">
      <w:pPr>
        <w:ind w:left="567"/>
        <w:rPr>
          <w:rFonts w:cs="Tahoma"/>
          <w:szCs w:val="20"/>
          <w:u w:val="single"/>
        </w:rPr>
      </w:pPr>
      <w:r w:rsidRPr="00360F70">
        <w:rPr>
          <w:u w:val="single"/>
        </w:rPr>
        <w:t>EBB har följt den metod som beskrivs i riktlinjerna – kapitel 6 – HACCP</w:t>
      </w:r>
    </w:p>
    <w:p w:rsidR="00AB1F25" w:rsidRPr="00360F70" w:rsidRDefault="00AB1F25" w:rsidP="00AB1F25"/>
    <w:p w:rsidR="00D10ECC" w:rsidRPr="00360F70" w:rsidRDefault="00D10ECC" w:rsidP="009301A1">
      <w:pPr>
        <w:pStyle w:val="Heading3"/>
        <w:jc w:val="both"/>
      </w:pPr>
      <w:bookmarkStart w:id="38" w:name="_Toc350504669"/>
      <w:bookmarkStart w:id="39" w:name="_Toc354403041"/>
      <w:bookmarkStart w:id="40" w:name="_Toc354998622"/>
      <w:bookmarkStart w:id="41" w:name="_Toc436325385"/>
      <w:bookmarkStart w:id="42" w:name="_Toc438114547"/>
      <w:r w:rsidRPr="00360F70">
        <w:t xml:space="preserve">Biodieselprocessen: EBB har utarbetat ett flödesschema som täcker alla faser i biodieselproduktionen, från transport och mottagning av råmaterial, </w:t>
      </w:r>
      <w:r w:rsidR="0068412B">
        <w:t>lag</w:t>
      </w:r>
      <w:r w:rsidRPr="00360F70">
        <w:t>ring, tillsättning av processhjälpmedel, separation av ämnen ef</w:t>
      </w:r>
      <w:r w:rsidR="009D7C0A">
        <w:t xml:space="preserve">ter </w:t>
      </w:r>
      <w:proofErr w:type="spellStart"/>
      <w:r w:rsidR="009D7C0A">
        <w:t>transesterifieringen</w:t>
      </w:r>
      <w:proofErr w:type="spellEnd"/>
      <w:r w:rsidR="009D7C0A">
        <w:t>, tvätt (vilket resulterar i</w:t>
      </w:r>
      <w:r w:rsidRPr="00360F70">
        <w:t xml:space="preserve"> slutprodukte</w:t>
      </w:r>
      <w:r w:rsidR="009D7C0A">
        <w:t>n som är</w:t>
      </w:r>
      <w:r w:rsidRPr="00360F70">
        <w:t xml:space="preserve"> biodiesel och rå glycerin</w:t>
      </w:r>
      <w:r w:rsidR="009D7C0A">
        <w:t>) och därefter</w:t>
      </w:r>
      <w:r w:rsidRPr="00360F70">
        <w:t xml:space="preserve">, </w:t>
      </w:r>
      <w:r w:rsidR="0068412B">
        <w:t>lag</w:t>
      </w:r>
      <w:r w:rsidRPr="00360F70">
        <w:t>ring och transport.</w:t>
      </w:r>
      <w:bookmarkEnd w:id="36"/>
      <w:bookmarkEnd w:id="37"/>
      <w:bookmarkEnd w:id="38"/>
      <w:bookmarkEnd w:id="39"/>
      <w:bookmarkEnd w:id="40"/>
      <w:bookmarkEnd w:id="41"/>
      <w:bookmarkEnd w:id="42"/>
    </w:p>
    <w:p w:rsidR="00793196" w:rsidRPr="00360F70" w:rsidRDefault="00793196" w:rsidP="00E0569C">
      <w:pPr>
        <w:ind w:left="567"/>
        <w:jc w:val="both"/>
        <w:rPr>
          <w:rFonts w:ascii="Verdana" w:hAnsi="Verdana"/>
        </w:rPr>
      </w:pPr>
    </w:p>
    <w:p w:rsidR="00E252E3" w:rsidRPr="00360F70" w:rsidRDefault="00793196" w:rsidP="00E0569C">
      <w:pPr>
        <w:pStyle w:val="Heading3"/>
        <w:jc w:val="both"/>
        <w:rPr>
          <w:rFonts w:ascii="Verdana" w:hAnsi="Verdana"/>
        </w:rPr>
      </w:pPr>
      <w:bookmarkStart w:id="43" w:name="_Toc348535625"/>
      <w:bookmarkStart w:id="44" w:name="_Toc349810401"/>
      <w:bookmarkStart w:id="45" w:name="_Toc350504670"/>
      <w:bookmarkStart w:id="46" w:name="_Toc354403042"/>
      <w:bookmarkStart w:id="47" w:name="_Toc354998623"/>
      <w:bookmarkStart w:id="48" w:name="_Toc436325386"/>
      <w:bookmarkStart w:id="49" w:name="_Toc438114548"/>
      <w:r w:rsidRPr="00360F70">
        <w:rPr>
          <w:rFonts w:ascii="Verdana" w:hAnsi="Verdana"/>
        </w:rPr>
        <w:t>Processtegen: Hjälpmedelsrelaterade faror har beskrivits. En fara för säkerheten är en biologisk (B), kemisk (C) eller fysisk (P) agens i en produkt eller ett produkttillstånd som gör att produkten kan skada människors eller djurs hälsa.</w:t>
      </w:r>
      <w:bookmarkEnd w:id="43"/>
      <w:bookmarkEnd w:id="44"/>
      <w:bookmarkEnd w:id="45"/>
      <w:bookmarkEnd w:id="46"/>
      <w:bookmarkEnd w:id="47"/>
      <w:bookmarkEnd w:id="48"/>
      <w:bookmarkEnd w:id="49"/>
    </w:p>
    <w:p w:rsidR="00E252E3" w:rsidRPr="00360F70" w:rsidRDefault="00E252E3" w:rsidP="00E0569C">
      <w:pPr>
        <w:pStyle w:val="Heading3"/>
        <w:numPr>
          <w:ilvl w:val="0"/>
          <w:numId w:val="0"/>
        </w:numPr>
        <w:ind w:left="567"/>
        <w:jc w:val="both"/>
        <w:rPr>
          <w:rFonts w:ascii="Verdana" w:hAnsi="Verdana"/>
        </w:rPr>
      </w:pPr>
    </w:p>
    <w:p w:rsidR="00D821F8" w:rsidRPr="00360F70" w:rsidRDefault="00E252E3" w:rsidP="00E0569C">
      <w:pPr>
        <w:pStyle w:val="Heading3"/>
        <w:jc w:val="both"/>
        <w:rPr>
          <w:rFonts w:ascii="Verdana" w:hAnsi="Verdana"/>
        </w:rPr>
      </w:pPr>
      <w:bookmarkStart w:id="50" w:name="_Toc436325387"/>
      <w:bookmarkStart w:id="51" w:name="_Toc348535626"/>
      <w:bookmarkStart w:id="52" w:name="_Toc349810402"/>
      <w:bookmarkStart w:id="53" w:name="_Toc350504671"/>
      <w:bookmarkStart w:id="54" w:name="_Toc354403043"/>
      <w:bookmarkStart w:id="55" w:name="_Toc354998624"/>
      <w:bookmarkStart w:id="56" w:name="_Toc438114549"/>
      <w:r w:rsidRPr="00360F70">
        <w:rPr>
          <w:rFonts w:ascii="Verdana" w:hAnsi="Verdana"/>
        </w:rPr>
        <w:t>En riskbedömning har gjorts för faror inom de delar av kedjan som har direkt samband med EBB-medlemmarnas företagsverksamhet inom ramen för produktionsprocessen.</w:t>
      </w:r>
      <w:bookmarkEnd w:id="50"/>
      <w:bookmarkEnd w:id="56"/>
    </w:p>
    <w:p w:rsidR="00D821F8" w:rsidRPr="00360F70" w:rsidRDefault="00D821F8" w:rsidP="00D821F8"/>
    <w:p w:rsidR="00D821F8" w:rsidRPr="00360F70" w:rsidRDefault="00D821F8" w:rsidP="00E0569C">
      <w:pPr>
        <w:pStyle w:val="Heading3"/>
        <w:jc w:val="both"/>
        <w:rPr>
          <w:rFonts w:ascii="Verdana" w:hAnsi="Verdana"/>
          <w:szCs w:val="20"/>
        </w:rPr>
      </w:pPr>
      <w:bookmarkStart w:id="57" w:name="_Toc436325388"/>
      <w:bookmarkStart w:id="58" w:name="_Toc438114550"/>
      <w:r w:rsidRPr="00360F70">
        <w:rPr>
          <w:rFonts w:ascii="Verdana" w:hAnsi="Verdana"/>
        </w:rPr>
        <w:t>Som tidigare påpekats ska riskerna inte betraktas som fullständigt beskrivna och de kan variera mellan olika biodieselproducenter beroende på individuella och specifika produktionsförutsättningar.</w:t>
      </w:r>
      <w:bookmarkEnd w:id="57"/>
      <w:bookmarkEnd w:id="58"/>
    </w:p>
    <w:p w:rsidR="00D821F8" w:rsidRPr="00360F70" w:rsidRDefault="00D821F8" w:rsidP="00D821F8">
      <w:pPr>
        <w:pStyle w:val="Heading3"/>
        <w:numPr>
          <w:ilvl w:val="0"/>
          <w:numId w:val="0"/>
        </w:numPr>
        <w:ind w:left="1440" w:hanging="720"/>
        <w:jc w:val="both"/>
        <w:rPr>
          <w:rFonts w:ascii="Verdana" w:hAnsi="Verdana"/>
          <w:szCs w:val="20"/>
        </w:rPr>
      </w:pPr>
    </w:p>
    <w:p w:rsidR="0062274A" w:rsidRPr="00360F70" w:rsidRDefault="0062274A" w:rsidP="00E851BD">
      <w:pPr>
        <w:pStyle w:val="Heading3"/>
        <w:numPr>
          <w:ilvl w:val="0"/>
          <w:numId w:val="0"/>
        </w:numPr>
        <w:ind w:left="1440" w:hanging="24"/>
        <w:jc w:val="both"/>
        <w:rPr>
          <w:rFonts w:ascii="Verdana" w:hAnsi="Verdana"/>
          <w:szCs w:val="20"/>
        </w:rPr>
      </w:pPr>
      <w:bookmarkStart w:id="59" w:name="_Toc436325389"/>
      <w:bookmarkStart w:id="60" w:name="_Toc438114551"/>
      <w:r w:rsidRPr="00360F70">
        <w:rPr>
          <w:rFonts w:ascii="Verdana" w:hAnsi="Verdana"/>
        </w:rPr>
        <w:t>I tabellerna anges heller inga styrbara grundförutsättningar (OPRP) eller kritiska styrpunkter (CCP), eftersom det beslut som leder fram till fastställandet av OPRP och CCP ska vara grundat på de verkliga förhållandena i varje enskild anläggning eller processlinje.</w:t>
      </w:r>
      <w:bookmarkEnd w:id="59"/>
      <w:bookmarkEnd w:id="60"/>
    </w:p>
    <w:p w:rsidR="0062274A" w:rsidRPr="00360F70" w:rsidRDefault="0062274A" w:rsidP="0062274A"/>
    <w:p w:rsidR="00E252E3" w:rsidRPr="00360F70" w:rsidRDefault="00C20A50" w:rsidP="00E0569C">
      <w:pPr>
        <w:pStyle w:val="Heading3"/>
        <w:rPr>
          <w:rFonts w:ascii="Verdana" w:hAnsi="Verdana"/>
        </w:rPr>
      </w:pPr>
      <w:bookmarkStart w:id="61" w:name="_Toc349810404"/>
      <w:bookmarkStart w:id="62" w:name="_Toc350504673"/>
      <w:bookmarkStart w:id="63" w:name="_Toc354403045"/>
      <w:bookmarkStart w:id="64" w:name="_Toc354998626"/>
      <w:bookmarkStart w:id="65" w:name="_Toc436325390"/>
      <w:bookmarkStart w:id="66" w:name="_Toc438114552"/>
      <w:bookmarkEnd w:id="51"/>
      <w:bookmarkEnd w:id="52"/>
      <w:bookmarkEnd w:id="53"/>
      <w:bookmarkEnd w:id="54"/>
      <w:bookmarkEnd w:id="55"/>
      <w:r w:rsidRPr="00360F70">
        <w:rPr>
          <w:rFonts w:ascii="Verdana" w:hAnsi="Verdana"/>
        </w:rPr>
        <w:t>EBB har angett motiv för riskbedömningen.</w:t>
      </w:r>
      <w:bookmarkEnd w:id="61"/>
      <w:bookmarkEnd w:id="62"/>
      <w:bookmarkEnd w:id="63"/>
      <w:bookmarkEnd w:id="64"/>
      <w:bookmarkEnd w:id="65"/>
      <w:bookmarkEnd w:id="66"/>
    </w:p>
    <w:p w:rsidR="00072A49" w:rsidRPr="00360F70" w:rsidRDefault="00072A49" w:rsidP="00E252E3">
      <w:pPr>
        <w:rPr>
          <w:rFonts w:ascii="Verdana" w:hAnsi="Verdana"/>
        </w:rPr>
      </w:pPr>
    </w:p>
    <w:p w:rsidR="00C50BC8" w:rsidRPr="00360F70" w:rsidRDefault="00C20A50" w:rsidP="001026C8">
      <w:pPr>
        <w:pStyle w:val="Heading3"/>
        <w:jc w:val="both"/>
        <w:rPr>
          <w:rFonts w:ascii="Verdana" w:hAnsi="Verdana"/>
        </w:rPr>
      </w:pPr>
      <w:bookmarkStart w:id="67" w:name="_Toc350504674"/>
      <w:bookmarkStart w:id="68" w:name="_Toc354403046"/>
      <w:bookmarkStart w:id="69" w:name="_Toc354998627"/>
      <w:bookmarkStart w:id="70" w:name="_Toc436325391"/>
      <w:bookmarkStart w:id="71" w:name="_Toc349810405"/>
      <w:bookmarkStart w:id="72" w:name="_Toc438114553"/>
      <w:r w:rsidRPr="00360F70">
        <w:rPr>
          <w:rFonts w:ascii="Verdana" w:hAnsi="Verdana"/>
        </w:rPr>
        <w:t xml:space="preserve">EBB har kontrollerat om det i EU-lagstiftningen eller handelsnormer </w:t>
      </w:r>
      <w:r w:rsidR="009D7C0A">
        <w:rPr>
          <w:rFonts w:ascii="Verdana" w:hAnsi="Verdana"/>
        </w:rPr>
        <w:t>fastställs</w:t>
      </w:r>
      <w:r w:rsidRPr="00360F70">
        <w:rPr>
          <w:rFonts w:ascii="Verdana" w:hAnsi="Verdana"/>
        </w:rPr>
        <w:t xml:space="preserve"> gränsvärden för de olika farorna och förtecknat dessa, i förekommande fall.</w:t>
      </w:r>
      <w:bookmarkEnd w:id="67"/>
      <w:bookmarkEnd w:id="68"/>
      <w:bookmarkEnd w:id="69"/>
      <w:bookmarkEnd w:id="70"/>
      <w:bookmarkEnd w:id="72"/>
    </w:p>
    <w:bookmarkEnd w:id="71"/>
    <w:p w:rsidR="00E4063B" w:rsidRPr="00360F70" w:rsidRDefault="00E4063B" w:rsidP="002E52C2">
      <w:pPr>
        <w:rPr>
          <w:rFonts w:ascii="Verdana" w:hAnsi="Verdana"/>
          <w:b/>
        </w:rPr>
      </w:pPr>
    </w:p>
    <w:p w:rsidR="00B631D4" w:rsidRPr="00360F70" w:rsidRDefault="00B631D4" w:rsidP="002E52C2">
      <w:pPr>
        <w:rPr>
          <w:rFonts w:ascii="Verdana" w:hAnsi="Verdana"/>
          <w:b/>
        </w:rPr>
      </w:pPr>
    </w:p>
    <w:p w:rsidR="002E52C2" w:rsidRPr="00360F70" w:rsidRDefault="002E52C2" w:rsidP="002E52C2">
      <w:pPr>
        <w:rPr>
          <w:rFonts w:ascii="Verdana" w:hAnsi="Verdana"/>
        </w:rPr>
      </w:pPr>
    </w:p>
    <w:p w:rsidR="008675C9" w:rsidRPr="00360F70" w:rsidRDefault="008675C9" w:rsidP="002E52C2">
      <w:pPr>
        <w:rPr>
          <w:rFonts w:ascii="Verdana" w:hAnsi="Verdana"/>
        </w:rPr>
        <w:sectPr w:rsidR="008675C9" w:rsidRPr="00360F70" w:rsidSect="007D3F9B">
          <w:headerReference w:type="default" r:id="rId20"/>
          <w:footerReference w:type="even" r:id="rId21"/>
          <w:footerReference w:type="default" r:id="rId22"/>
          <w:pgSz w:w="12240" w:h="15840"/>
          <w:pgMar w:top="1361" w:right="1701" w:bottom="1361" w:left="1701" w:header="720" w:footer="720" w:gutter="0"/>
          <w:cols w:space="720"/>
          <w:titlePg/>
          <w:docGrid w:linePitch="360"/>
        </w:sectPr>
      </w:pPr>
    </w:p>
    <w:p w:rsidR="008675C9" w:rsidRPr="00360F70" w:rsidRDefault="008675C9" w:rsidP="002E52C2">
      <w:pPr>
        <w:rPr>
          <w:rFonts w:ascii="Verdana" w:hAnsi="Verdana"/>
        </w:rPr>
      </w:pPr>
    </w:p>
    <w:p w:rsidR="008675C9" w:rsidRPr="00360F70" w:rsidRDefault="008675C9"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54"/>
        <w:gridCol w:w="948"/>
        <w:gridCol w:w="1418"/>
        <w:gridCol w:w="850"/>
        <w:gridCol w:w="2268"/>
        <w:gridCol w:w="2127"/>
        <w:gridCol w:w="2693"/>
        <w:gridCol w:w="1843"/>
      </w:tblGrid>
      <w:tr w:rsidR="00C724B8" w:rsidRPr="00360F70" w:rsidTr="00DC50EA">
        <w:trPr>
          <w:trHeight w:val="429"/>
        </w:trPr>
        <w:tc>
          <w:tcPr>
            <w:tcW w:w="4928" w:type="dxa"/>
            <w:gridSpan w:val="4"/>
            <w:tcBorders>
              <w:bottom w:val="single" w:sz="4" w:space="0" w:color="auto"/>
            </w:tcBorders>
            <w:shd w:val="clear" w:color="auto" w:fill="0DA72A"/>
            <w:tcMar>
              <w:top w:w="57" w:type="dxa"/>
              <w:bottom w:w="57" w:type="dxa"/>
            </w:tcMar>
            <w:vAlign w:val="center"/>
          </w:tcPr>
          <w:p w:rsidR="00C724B8" w:rsidRPr="00360F70" w:rsidRDefault="00E80F73" w:rsidP="004831A2">
            <w:pPr>
              <w:pStyle w:val="Heading1"/>
              <w:numPr>
                <w:ilvl w:val="0"/>
                <w:numId w:val="0"/>
              </w:numPr>
              <w:rPr>
                <w:color w:val="FFFFFF" w:themeColor="background1"/>
                <w:sz w:val="32"/>
              </w:rPr>
            </w:pPr>
            <w:bookmarkStart w:id="73" w:name="_Toc354998629"/>
            <w:bookmarkStart w:id="74" w:name="_Toc438114554"/>
            <w:r w:rsidRPr="00360F70">
              <w:rPr>
                <w:color w:val="FFFFFF" w:themeColor="background1"/>
                <w:sz w:val="32"/>
              </w:rPr>
              <w:t>8. Riskbaserad strategi för glycerin</w:t>
            </w:r>
            <w:bookmarkEnd w:id="73"/>
            <w:bookmarkEnd w:id="74"/>
          </w:p>
          <w:p w:rsidR="00C724B8" w:rsidRPr="00360F70"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360F70" w:rsidRDefault="00127622" w:rsidP="00D80406">
            <w:pPr>
              <w:pStyle w:val="ListParagraph"/>
              <w:widowControl w:val="0"/>
              <w:numPr>
                <w:ilvl w:val="0"/>
                <w:numId w:val="38"/>
              </w:numPr>
              <w:rPr>
                <w:rFonts w:ascii="Verdana" w:hAnsi="Verdana" w:cs="Tahoma"/>
                <w:b/>
                <w:color w:val="FFFFFF"/>
                <w:sz w:val="28"/>
                <w:szCs w:val="28"/>
              </w:rPr>
            </w:pPr>
            <w:r w:rsidRPr="00360F70">
              <w:rPr>
                <w:rFonts w:ascii="Verdana" w:hAnsi="Verdana"/>
                <w:b/>
                <w:color w:val="FFFFFF"/>
                <w:sz w:val="28"/>
              </w:rPr>
              <w:t>Allmän risk: Biodieselbearbetning</w:t>
            </w:r>
          </w:p>
        </w:tc>
      </w:tr>
      <w:tr w:rsidR="00993467" w:rsidRPr="00360F70" w:rsidTr="003E010C">
        <w:trPr>
          <w:trHeight w:val="536"/>
        </w:trPr>
        <w:tc>
          <w:tcPr>
            <w:tcW w:w="1908"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54"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948"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8" w:type="dxa"/>
            <w:tcBorders>
              <w:bottom w:val="single" w:sz="4" w:space="0" w:color="auto"/>
            </w:tcBorders>
            <w:shd w:val="clear" w:color="auto" w:fill="0DA72A"/>
            <w:tcMar>
              <w:top w:w="28" w:type="dxa"/>
              <w:bottom w:w="28" w:type="dxa"/>
            </w:tcMar>
            <w:vAlign w:val="center"/>
          </w:tcPr>
          <w:p w:rsidR="00993467" w:rsidRPr="00360F70" w:rsidRDefault="00993467" w:rsidP="004B2FB4">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Allvarlighet </w:t>
            </w:r>
          </w:p>
        </w:tc>
        <w:tc>
          <w:tcPr>
            <w:tcW w:w="850"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268"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2127" w:type="dxa"/>
            <w:tcBorders>
              <w:bottom w:val="single" w:sz="4" w:space="0" w:color="auto"/>
            </w:tcBorders>
            <w:shd w:val="clear" w:color="auto" w:fill="0DA72A"/>
            <w:tcMar>
              <w:top w:w="28" w:type="dxa"/>
              <w:bottom w:w="28" w:type="dxa"/>
            </w:tcMar>
            <w:vAlign w:val="center"/>
          </w:tcPr>
          <w:p w:rsidR="00993467" w:rsidRPr="00360F70" w:rsidRDefault="00993467" w:rsidP="00D117AF">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Lagstiftning, branschnormer</w:t>
            </w:r>
            <w:r w:rsidR="00360F70">
              <w:rPr>
                <w:rFonts w:ascii="Verdana" w:hAnsi="Verdana"/>
                <w:b/>
                <w:color w:val="FFFFFF"/>
                <w:sz w:val="14"/>
              </w:rPr>
              <w:t xml:space="preserve"> </w:t>
            </w:r>
          </w:p>
        </w:tc>
        <w:tc>
          <w:tcPr>
            <w:tcW w:w="2693"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1843"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993467" w:rsidRPr="00360F70" w:rsidTr="0068412B">
        <w:trPr>
          <w:trHeight w:val="1511"/>
        </w:trPr>
        <w:tc>
          <w:tcPr>
            <w:tcW w:w="190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Vattenkvalitet</w:t>
            </w:r>
          </w:p>
        </w:tc>
        <w:tc>
          <w:tcPr>
            <w:tcW w:w="654"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C/B/P</w:t>
            </w:r>
          </w:p>
        </w:tc>
        <w:tc>
          <w:tcPr>
            <w:tcW w:w="948" w:type="dxa"/>
            <w:tcBorders>
              <w:top w:val="single" w:sz="4" w:space="0" w:color="auto"/>
              <w:bottom w:val="single" w:sz="4" w:space="0" w:color="auto"/>
            </w:tcBorders>
            <w:tcMar>
              <w:top w:w="85" w:type="dxa"/>
              <w:bottom w:w="85" w:type="dxa"/>
            </w:tcMar>
          </w:tcPr>
          <w:p w:rsidR="00993467" w:rsidRPr="00360F70" w:rsidRDefault="00FF185B" w:rsidP="004E54A8">
            <w:pPr>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FF185B" w:rsidP="004E54A8">
            <w:pPr>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360F70" w:rsidRDefault="00993467" w:rsidP="00AD370B">
            <w:pPr>
              <w:rPr>
                <w:rFonts w:ascii="Verdana" w:hAnsi="Verdana" w:cs="Tahoma"/>
                <w:sz w:val="16"/>
                <w:szCs w:val="16"/>
              </w:rPr>
            </w:pPr>
            <w:r w:rsidRPr="00360F70">
              <w:rPr>
                <w:rFonts w:ascii="Verdana" w:hAnsi="Verdana"/>
                <w:sz w:val="16"/>
              </w:rPr>
              <w:t>Vatten används vid produktion av biodiesel.</w:t>
            </w:r>
          </w:p>
        </w:tc>
        <w:tc>
          <w:tcPr>
            <w:tcW w:w="2127" w:type="dxa"/>
            <w:tcBorders>
              <w:top w:val="single" w:sz="4" w:space="0" w:color="auto"/>
              <w:bottom w:val="single" w:sz="4" w:space="0" w:color="auto"/>
            </w:tcBorders>
            <w:tcMar>
              <w:top w:w="85" w:type="dxa"/>
              <w:bottom w:w="85" w:type="dxa"/>
            </w:tcMar>
          </w:tcPr>
          <w:p w:rsidR="00993467" w:rsidRPr="00360F70" w:rsidRDefault="00993467" w:rsidP="004E54A8">
            <w:pPr>
              <w:rPr>
                <w:rFonts w:ascii="Verdana" w:hAnsi="Verdana" w:cs="Tahoma"/>
                <w:sz w:val="16"/>
                <w:szCs w:val="16"/>
              </w:rPr>
            </w:pPr>
            <w:r w:rsidRPr="00360F70">
              <w:rPr>
                <w:rFonts w:ascii="Verdana" w:hAnsi="Verdana"/>
                <w:sz w:val="16"/>
              </w:rPr>
              <w:t>Enligt förordning (EG) nr 183/2005 ska vatten som används vid tillverkning av foder vara av lämplig kvalitet.</w:t>
            </w:r>
          </w:p>
        </w:tc>
        <w:tc>
          <w:tcPr>
            <w:tcW w:w="2693"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iCs/>
                <w:sz w:val="16"/>
                <w:szCs w:val="16"/>
              </w:rPr>
            </w:pPr>
            <w:r w:rsidRPr="00360F70">
              <w:rPr>
                <w:rFonts w:ascii="Verdana" w:hAnsi="Verdana"/>
                <w:sz w:val="16"/>
              </w:rPr>
              <w:t>Använd vatten av dricksvattenkvalitet.</w:t>
            </w:r>
          </w:p>
          <w:p w:rsidR="00993467" w:rsidRPr="00360F70" w:rsidRDefault="00993467" w:rsidP="004E54A8">
            <w:pPr>
              <w:widowControl w:val="0"/>
              <w:rPr>
                <w:rFonts w:ascii="Verdana" w:hAnsi="Verdana" w:cs="Tahoma"/>
                <w:iCs/>
                <w:sz w:val="16"/>
                <w:szCs w:val="16"/>
              </w:rPr>
            </w:pPr>
          </w:p>
          <w:p w:rsidR="00993467" w:rsidRPr="00360F70" w:rsidRDefault="00993467" w:rsidP="004E54A8">
            <w:pPr>
              <w:widowControl w:val="0"/>
              <w:rPr>
                <w:rFonts w:ascii="Verdana" w:hAnsi="Verdana" w:cs="Tahoma"/>
                <w:iCs/>
                <w:sz w:val="16"/>
                <w:szCs w:val="16"/>
              </w:rPr>
            </w:pPr>
            <w:r w:rsidRPr="00360F70">
              <w:rPr>
                <w:rFonts w:ascii="Verdana" w:hAnsi="Verdana"/>
                <w:sz w:val="16"/>
              </w:rPr>
              <w:t>Särskilda vattenkretslopp</w:t>
            </w:r>
          </w:p>
        </w:tc>
        <w:tc>
          <w:tcPr>
            <w:tcW w:w="1843"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Arial Narrow"/>
                <w:sz w:val="16"/>
                <w:szCs w:val="16"/>
              </w:rPr>
            </w:pPr>
          </w:p>
        </w:tc>
      </w:tr>
      <w:tr w:rsidR="00993467" w:rsidRPr="00360F70" w:rsidTr="003E010C">
        <w:trPr>
          <w:trHeight w:val="1133"/>
        </w:trPr>
        <w:tc>
          <w:tcPr>
            <w:tcW w:w="190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p>
          <w:p w:rsidR="00993467" w:rsidRPr="00360F70" w:rsidRDefault="00993467" w:rsidP="004E54A8">
            <w:pPr>
              <w:widowControl w:val="0"/>
              <w:rPr>
                <w:rFonts w:ascii="Verdana" w:hAnsi="Verdana" w:cs="Tahoma"/>
                <w:b/>
                <w:bCs/>
                <w:sz w:val="16"/>
                <w:szCs w:val="16"/>
              </w:rPr>
            </w:pPr>
            <w:r w:rsidRPr="00360F70">
              <w:rPr>
                <w:rFonts w:ascii="Verdana" w:hAnsi="Verdana"/>
                <w:b/>
                <w:sz w:val="16"/>
              </w:rPr>
              <w:t xml:space="preserve">Rengöringsmedel </w:t>
            </w:r>
          </w:p>
        </w:tc>
        <w:tc>
          <w:tcPr>
            <w:tcW w:w="654"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p>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4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p>
          <w:p w:rsidR="00993467"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p>
          <w:p w:rsidR="00993467" w:rsidRPr="00360F70" w:rsidRDefault="00FF185B" w:rsidP="004E54A8">
            <w:pPr>
              <w:widowControl w:val="0"/>
              <w:jc w:val="center"/>
              <w:rPr>
                <w:rFonts w:ascii="Verdana" w:hAnsi="Verdana" w:cs="Tahoma"/>
                <w:sz w:val="16"/>
                <w:szCs w:val="16"/>
              </w:rPr>
            </w:pPr>
            <w:r w:rsidRPr="00360F70">
              <w:rPr>
                <w:rFonts w:ascii="Verdana" w:hAnsi="Verdana"/>
                <w:sz w:val="16"/>
              </w:rPr>
              <w:t>Måttlig</w:t>
            </w:r>
          </w:p>
        </w:tc>
        <w:tc>
          <w:tcPr>
            <w:tcW w:w="850"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p>
          <w:p w:rsidR="00993467" w:rsidRPr="00360F70" w:rsidRDefault="00993467" w:rsidP="004E54A8">
            <w:pPr>
              <w:widowControl w:val="0"/>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p w:rsidR="00993467" w:rsidRPr="00360F70" w:rsidRDefault="00993467" w:rsidP="004E54A8">
            <w:pPr>
              <w:widowControl w:val="0"/>
              <w:rPr>
                <w:rFonts w:ascii="Verdana" w:hAnsi="Verdana" w:cs="Tahoma"/>
                <w:sz w:val="16"/>
                <w:szCs w:val="16"/>
              </w:rPr>
            </w:pPr>
            <w:r w:rsidRPr="00360F70">
              <w:rPr>
                <w:rFonts w:ascii="Verdana" w:hAnsi="Verdana"/>
                <w:sz w:val="16"/>
              </w:rPr>
              <w:t>Rengöringsmedel kommer i kontakt med produkten.</w:t>
            </w:r>
          </w:p>
        </w:tc>
        <w:tc>
          <w:tcPr>
            <w:tcW w:w="2127"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p w:rsidR="00993467" w:rsidRPr="00360F70" w:rsidRDefault="00993467" w:rsidP="004B2FB4">
            <w:pPr>
              <w:widowControl w:val="0"/>
              <w:rPr>
                <w:rFonts w:ascii="Verdana" w:hAnsi="Verdana" w:cs="Tahoma"/>
                <w:sz w:val="16"/>
                <w:szCs w:val="16"/>
              </w:rPr>
            </w:pPr>
            <w:r w:rsidRPr="00360F70">
              <w:rPr>
                <w:rFonts w:ascii="Verdana" w:hAnsi="Verdana"/>
                <w:sz w:val="16"/>
              </w:rPr>
              <w:t>Rengöringsmedel som används i produktions</w:t>
            </w:r>
            <w:r w:rsidRPr="00360F70">
              <w:softHyphen/>
            </w:r>
            <w:r w:rsidRPr="00360F70">
              <w:rPr>
                <w:rFonts w:ascii="Verdana" w:hAnsi="Verdana"/>
                <w:sz w:val="16"/>
              </w:rPr>
              <w:t xml:space="preserve">systemet ska sköljas bort. De rengöringsmedel som används ska utvärderas och lämpliga åtgärder ska vidtas för att minska risken till godtagbara nivåer. </w:t>
            </w:r>
          </w:p>
        </w:tc>
        <w:tc>
          <w:tcPr>
            <w:tcW w:w="1843"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Arial Narrow"/>
                <w:sz w:val="16"/>
                <w:szCs w:val="16"/>
              </w:rPr>
            </w:pPr>
          </w:p>
          <w:p w:rsidR="004B2FB4" w:rsidRPr="00360F70" w:rsidRDefault="004B2FB4" w:rsidP="004E54A8">
            <w:pPr>
              <w:widowControl w:val="0"/>
              <w:rPr>
                <w:rFonts w:ascii="Verdana" w:hAnsi="Verdana" w:cs="Arial Narrow"/>
                <w:sz w:val="16"/>
                <w:szCs w:val="16"/>
              </w:rPr>
            </w:pPr>
            <w:r w:rsidRPr="00360F70">
              <w:rPr>
                <w:rFonts w:ascii="Verdana" w:hAnsi="Verdana"/>
                <w:sz w:val="16"/>
              </w:rPr>
              <w:t>Inte någon vanlig risk eftersom de flesta produktions</w:t>
            </w:r>
            <w:r w:rsidRPr="00360F70">
              <w:softHyphen/>
            </w:r>
            <w:r w:rsidRPr="00360F70">
              <w:rPr>
                <w:rFonts w:ascii="Verdana" w:hAnsi="Verdana"/>
                <w:sz w:val="16"/>
              </w:rPr>
              <w:t>anläggningar har en kontinuerlig process.</w:t>
            </w:r>
          </w:p>
        </w:tc>
      </w:tr>
      <w:tr w:rsidR="00993467" w:rsidRPr="00360F70" w:rsidTr="00494D0C">
        <w:trPr>
          <w:trHeight w:val="479"/>
        </w:trPr>
        <w:tc>
          <w:tcPr>
            <w:tcW w:w="190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Inflygande fåglar</w:t>
            </w:r>
          </w:p>
        </w:tc>
        <w:tc>
          <w:tcPr>
            <w:tcW w:w="654"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B</w:t>
            </w:r>
          </w:p>
        </w:tc>
        <w:tc>
          <w:tcPr>
            <w:tcW w:w="948" w:type="dxa"/>
            <w:tcBorders>
              <w:top w:val="single" w:sz="4" w:space="0" w:color="auto"/>
              <w:bottom w:val="single" w:sz="4" w:space="0" w:color="auto"/>
            </w:tcBorders>
            <w:tcMar>
              <w:top w:w="85" w:type="dxa"/>
              <w:bottom w:w="85" w:type="dxa"/>
            </w:tcMar>
          </w:tcPr>
          <w:p w:rsidR="00993467" w:rsidRPr="00360F70" w:rsidRDefault="004A2A8A" w:rsidP="004E54A8">
            <w:pPr>
              <w:widowControl w:val="0"/>
              <w:jc w:val="center"/>
              <w:rPr>
                <w:rFonts w:ascii="Verdana" w:hAnsi="Verdana" w:cs="Tahoma"/>
                <w:sz w:val="16"/>
                <w:szCs w:val="16"/>
              </w:rPr>
            </w:pPr>
            <w:r w:rsidRPr="00360F70">
              <w:rPr>
                <w:rFonts w:ascii="Verdana" w:hAnsi="Verdana"/>
                <w:sz w:val="16"/>
              </w:rPr>
              <w:t xml:space="preserve"> 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Måttlig</w:t>
            </w:r>
          </w:p>
        </w:tc>
        <w:tc>
          <w:tcPr>
            <w:tcW w:w="850" w:type="dxa"/>
            <w:tcBorders>
              <w:top w:val="single" w:sz="4" w:space="0" w:color="auto"/>
              <w:bottom w:val="single" w:sz="4" w:space="0" w:color="auto"/>
            </w:tcBorders>
            <w:shd w:val="clear" w:color="auto" w:fill="auto"/>
            <w:tcMar>
              <w:top w:w="85" w:type="dxa"/>
              <w:bottom w:w="85" w:type="dxa"/>
            </w:tcMar>
          </w:tcPr>
          <w:p w:rsidR="00993467" w:rsidRPr="00360F70" w:rsidRDefault="004A2A8A" w:rsidP="004E54A8">
            <w:pPr>
              <w:widowControl w:val="0"/>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993467" w:rsidRPr="00360F70" w:rsidRDefault="004A2A8A" w:rsidP="004A2A8A">
            <w:pPr>
              <w:widowControl w:val="0"/>
              <w:rPr>
                <w:rFonts w:ascii="Verdana" w:hAnsi="Verdana" w:cs="Arial Narrow"/>
                <w:sz w:val="16"/>
                <w:szCs w:val="16"/>
              </w:rPr>
            </w:pPr>
            <w:r w:rsidRPr="00360F70">
              <w:rPr>
                <w:rFonts w:ascii="Verdana" w:hAnsi="Verdana"/>
                <w:sz w:val="16"/>
              </w:rPr>
              <w:t>Faran kan förebyggas med stängda byggnader</w:t>
            </w:r>
            <w:r w:rsidR="0068412B">
              <w:rPr>
                <w:rFonts w:ascii="Verdana" w:hAnsi="Verdana"/>
                <w:sz w:val="16"/>
              </w:rPr>
              <w:t>.</w:t>
            </w:r>
          </w:p>
        </w:tc>
      </w:tr>
      <w:tr w:rsidR="00993467" w:rsidRPr="00360F70" w:rsidTr="003E010C">
        <w:trPr>
          <w:trHeight w:val="816"/>
        </w:trPr>
        <w:tc>
          <w:tcPr>
            <w:tcW w:w="190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Toxiner från medel</w:t>
            </w:r>
            <w:r w:rsidR="0068412B">
              <w:rPr>
                <w:rFonts w:ascii="Verdana" w:hAnsi="Verdana"/>
                <w:b/>
                <w:sz w:val="16"/>
              </w:rPr>
              <w:t xml:space="preserve"> för skadedjursbekämpning</w:t>
            </w:r>
          </w:p>
          <w:p w:rsidR="00993467" w:rsidRPr="00360F70" w:rsidRDefault="00993467" w:rsidP="004E54A8">
            <w:pPr>
              <w:widowControl w:val="0"/>
              <w:rPr>
                <w:rFonts w:ascii="Verdana" w:hAnsi="Verdana" w:cs="Tahoma"/>
                <w:b/>
                <w:bCs/>
                <w:sz w:val="16"/>
                <w:szCs w:val="16"/>
              </w:rPr>
            </w:pPr>
          </w:p>
          <w:p w:rsidR="00993467" w:rsidRPr="00360F70" w:rsidRDefault="00993467" w:rsidP="004E54A8">
            <w:pPr>
              <w:widowControl w:val="0"/>
              <w:rPr>
                <w:rFonts w:ascii="Verdana" w:hAnsi="Verdana" w:cs="Tahoma"/>
                <w:b/>
                <w:bCs/>
                <w:sz w:val="16"/>
                <w:szCs w:val="16"/>
              </w:rPr>
            </w:pPr>
          </w:p>
        </w:tc>
        <w:tc>
          <w:tcPr>
            <w:tcW w:w="654"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p w:rsidR="00993467" w:rsidRPr="00360F70" w:rsidRDefault="00993467" w:rsidP="00DC50EA">
            <w:pPr>
              <w:widowControl w:val="0"/>
              <w:rPr>
                <w:rFonts w:ascii="Verdana" w:hAnsi="Verdana" w:cs="Tahoma"/>
                <w:sz w:val="16"/>
                <w:szCs w:val="16"/>
              </w:rPr>
            </w:pPr>
          </w:p>
        </w:tc>
        <w:tc>
          <w:tcPr>
            <w:tcW w:w="94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Mycket liten</w:t>
            </w:r>
          </w:p>
          <w:p w:rsidR="00993467" w:rsidRPr="00360F70" w:rsidRDefault="00993467" w:rsidP="00DC50EA">
            <w:pPr>
              <w:widowControl w:val="0"/>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Stor</w:t>
            </w:r>
          </w:p>
          <w:p w:rsidR="00993467" w:rsidRPr="00360F70" w:rsidRDefault="00993467" w:rsidP="00DC50EA">
            <w:pPr>
              <w:widowControl w:val="0"/>
              <w:rPr>
                <w:rFonts w:ascii="Verdana" w:hAnsi="Verdana" w:cs="Tahoma"/>
                <w:sz w:val="16"/>
                <w:szCs w:val="16"/>
              </w:rPr>
            </w:pPr>
          </w:p>
        </w:tc>
        <w:tc>
          <w:tcPr>
            <w:tcW w:w="850"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2</w:t>
            </w:r>
          </w:p>
          <w:p w:rsidR="00993467" w:rsidRPr="00360F70" w:rsidRDefault="00993467" w:rsidP="004E54A8">
            <w:pPr>
              <w:widowControl w:val="0"/>
              <w:jc w:val="center"/>
              <w:rPr>
                <w:rFonts w:ascii="Verdana" w:hAnsi="Verdana" w:cs="Tahoma"/>
                <w:sz w:val="16"/>
                <w:szCs w:val="16"/>
              </w:rPr>
            </w:pPr>
          </w:p>
          <w:p w:rsidR="00993467" w:rsidRPr="00360F70" w:rsidRDefault="00993467" w:rsidP="00DC50EA">
            <w:pPr>
              <w:widowControl w:val="0"/>
              <w:rPr>
                <w:rFonts w:ascii="Verdana" w:hAnsi="Verdana" w:cs="Tahoma"/>
                <w:sz w:val="16"/>
                <w:szCs w:val="16"/>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6221FD">
            <w:pPr>
              <w:widowControl w:val="0"/>
              <w:rPr>
                <w:rFonts w:ascii="Verdana" w:hAnsi="Verdana" w:cs="Tahoma"/>
                <w:sz w:val="16"/>
                <w:szCs w:val="16"/>
              </w:rPr>
            </w:pPr>
            <w:r w:rsidRPr="00360F70">
              <w:rPr>
                <w:rFonts w:ascii="Verdana" w:hAnsi="Verdana"/>
                <w:sz w:val="16"/>
              </w:rPr>
              <w:t xml:space="preserve">Giftigt bete från öppna lådor kan orsaka </w:t>
            </w:r>
            <w:proofErr w:type="spellStart"/>
            <w:r w:rsidRPr="00360F70">
              <w:rPr>
                <w:rFonts w:ascii="Verdana" w:hAnsi="Verdana"/>
                <w:sz w:val="16"/>
              </w:rPr>
              <w:t>kors</w:t>
            </w:r>
            <w:r w:rsidRPr="00360F70">
              <w:softHyphen/>
            </w:r>
            <w:r w:rsidRPr="00360F70">
              <w:rPr>
                <w:rFonts w:ascii="Verdana" w:hAnsi="Verdana"/>
                <w:sz w:val="16"/>
              </w:rPr>
              <w:t>kontaminering</w:t>
            </w:r>
            <w:proofErr w:type="spellEnd"/>
            <w:r w:rsidRPr="00360F70">
              <w:rPr>
                <w:rFonts w:ascii="Verdana" w:hAnsi="Verdana"/>
                <w:sz w:val="16"/>
              </w:rPr>
              <w:t>.</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4E54A8">
            <w:pPr>
              <w:widowControl w:val="0"/>
              <w:rPr>
                <w:rFonts w:ascii="Verdana" w:hAnsi="Verdana" w:cs="Tahoma"/>
                <w:i/>
                <w:iCs/>
                <w:color w:val="0000FF"/>
                <w:sz w:val="16"/>
                <w:szCs w:val="16"/>
              </w:rPr>
            </w:pPr>
          </w:p>
        </w:tc>
        <w:tc>
          <w:tcPr>
            <w:tcW w:w="269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F9305F">
            <w:pPr>
              <w:widowControl w:val="0"/>
              <w:rPr>
                <w:rFonts w:ascii="Verdana" w:hAnsi="Verdana" w:cs="Tahoma"/>
                <w:sz w:val="16"/>
                <w:szCs w:val="16"/>
              </w:rPr>
            </w:pPr>
            <w:r w:rsidRPr="00360F70">
              <w:rPr>
                <w:rFonts w:ascii="Verdana" w:hAnsi="Verdana"/>
                <w:sz w:val="16"/>
              </w:rPr>
              <w:t xml:space="preserve">Det ska finnas ett program för skadedjursbekämpning. Lämpliga åtgärder ska vidtas för att minimera risken. </w:t>
            </w:r>
          </w:p>
        </w:tc>
        <w:tc>
          <w:tcPr>
            <w:tcW w:w="184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60F70" w:rsidRDefault="00993467" w:rsidP="004E54A8">
            <w:pPr>
              <w:widowControl w:val="0"/>
              <w:rPr>
                <w:rFonts w:ascii="Verdana" w:hAnsi="Verdana" w:cs="Arial Narrow"/>
                <w:sz w:val="16"/>
                <w:szCs w:val="16"/>
              </w:rPr>
            </w:pPr>
          </w:p>
          <w:p w:rsidR="00993467" w:rsidRPr="00360F70" w:rsidRDefault="00993467" w:rsidP="004E54A8">
            <w:pPr>
              <w:widowControl w:val="0"/>
              <w:rPr>
                <w:rFonts w:ascii="Verdana" w:hAnsi="Verdana" w:cs="Arial Narrow"/>
                <w:sz w:val="16"/>
                <w:szCs w:val="16"/>
              </w:rPr>
            </w:pPr>
          </w:p>
        </w:tc>
      </w:tr>
      <w:tr w:rsidR="00DC50EA" w:rsidRPr="00360F70" w:rsidTr="00494D0C">
        <w:trPr>
          <w:trHeight w:val="751"/>
        </w:trPr>
        <w:tc>
          <w:tcPr>
            <w:tcW w:w="1908" w:type="dxa"/>
            <w:tcBorders>
              <w:top w:val="single" w:sz="4" w:space="0" w:color="auto"/>
              <w:bottom w:val="single" w:sz="4" w:space="0" w:color="auto"/>
            </w:tcBorders>
            <w:shd w:val="clear" w:color="auto" w:fill="auto"/>
            <w:tcMar>
              <w:top w:w="85" w:type="dxa"/>
              <w:bottom w:w="85" w:type="dxa"/>
            </w:tcMar>
          </w:tcPr>
          <w:p w:rsidR="00DC50EA" w:rsidRPr="00360F70" w:rsidRDefault="00DC50EA" w:rsidP="00DC50EA">
            <w:pPr>
              <w:widowControl w:val="0"/>
              <w:rPr>
                <w:rFonts w:ascii="Verdana" w:hAnsi="Verdana" w:cs="Tahoma"/>
                <w:b/>
                <w:bCs/>
                <w:sz w:val="16"/>
                <w:szCs w:val="16"/>
              </w:rPr>
            </w:pPr>
            <w:r w:rsidRPr="00360F70">
              <w:rPr>
                <w:rFonts w:ascii="Verdana" w:hAnsi="Verdana"/>
                <w:b/>
                <w:sz w:val="16"/>
              </w:rPr>
              <w:t>Smörjmedel</w:t>
            </w:r>
          </w:p>
          <w:p w:rsidR="00DC50EA" w:rsidRPr="00360F70" w:rsidRDefault="00DC50EA" w:rsidP="004E54A8">
            <w:pPr>
              <w:widowControl w:val="0"/>
              <w:rPr>
                <w:rFonts w:ascii="Verdana" w:hAnsi="Verdana" w:cs="Tahoma"/>
                <w:b/>
                <w:bCs/>
                <w:sz w:val="16"/>
                <w:szCs w:val="16"/>
              </w:rPr>
            </w:pPr>
          </w:p>
        </w:tc>
        <w:tc>
          <w:tcPr>
            <w:tcW w:w="654" w:type="dxa"/>
            <w:tcBorders>
              <w:top w:val="single" w:sz="4" w:space="0" w:color="auto"/>
              <w:bottom w:val="single" w:sz="4" w:space="0" w:color="auto"/>
            </w:tcBorders>
            <w:shd w:val="clear" w:color="auto" w:fill="auto"/>
            <w:tcMar>
              <w:top w:w="85" w:type="dxa"/>
              <w:bottom w:w="85" w:type="dxa"/>
            </w:tcMar>
          </w:tcPr>
          <w:p w:rsidR="00DC50EA" w:rsidRPr="00360F70" w:rsidRDefault="00DC50EA" w:rsidP="004E54A8">
            <w:pPr>
              <w:widowControl w:val="0"/>
              <w:jc w:val="center"/>
              <w:rPr>
                <w:rFonts w:ascii="Verdana" w:hAnsi="Verdana" w:cs="Tahoma"/>
                <w:sz w:val="16"/>
                <w:szCs w:val="16"/>
              </w:rPr>
            </w:pPr>
            <w:r w:rsidRPr="00360F70">
              <w:rPr>
                <w:rFonts w:ascii="Verdana" w:hAnsi="Verdana"/>
                <w:sz w:val="16"/>
              </w:rPr>
              <w:t>C</w:t>
            </w:r>
          </w:p>
        </w:tc>
        <w:tc>
          <w:tcPr>
            <w:tcW w:w="948" w:type="dxa"/>
            <w:tcBorders>
              <w:top w:val="single" w:sz="4" w:space="0" w:color="auto"/>
              <w:bottom w:val="single" w:sz="4" w:space="0" w:color="auto"/>
            </w:tcBorders>
            <w:shd w:val="clear" w:color="auto" w:fill="auto"/>
            <w:tcMar>
              <w:top w:w="85" w:type="dxa"/>
              <w:bottom w:w="85" w:type="dxa"/>
            </w:tcMar>
          </w:tcPr>
          <w:p w:rsidR="00DC50EA" w:rsidRPr="00360F70" w:rsidRDefault="00DC50EA" w:rsidP="00D13F4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shd w:val="clear" w:color="auto" w:fill="auto"/>
            <w:tcMar>
              <w:top w:w="85" w:type="dxa"/>
              <w:bottom w:w="85" w:type="dxa"/>
            </w:tcMar>
          </w:tcPr>
          <w:p w:rsidR="00DC50EA" w:rsidRPr="00360F70" w:rsidRDefault="004A2A8A" w:rsidP="004E54A8">
            <w:pPr>
              <w:widowControl w:val="0"/>
              <w:jc w:val="center"/>
              <w:rPr>
                <w:rFonts w:ascii="Verdana" w:hAnsi="Verdana" w:cs="Tahoma"/>
                <w:sz w:val="16"/>
                <w:szCs w:val="16"/>
              </w:rPr>
            </w:pPr>
            <w:r w:rsidRPr="00360F70">
              <w:rPr>
                <w:rFonts w:ascii="Verdana" w:hAnsi="Verdana"/>
                <w:sz w:val="16"/>
              </w:rPr>
              <w:t xml:space="preserve"> Stor</w:t>
            </w:r>
          </w:p>
        </w:tc>
        <w:tc>
          <w:tcPr>
            <w:tcW w:w="850" w:type="dxa"/>
            <w:tcBorders>
              <w:top w:val="single" w:sz="4" w:space="0" w:color="auto"/>
              <w:bottom w:val="single" w:sz="4" w:space="0" w:color="auto"/>
            </w:tcBorders>
            <w:shd w:val="clear" w:color="auto" w:fill="FFC000"/>
            <w:tcMar>
              <w:top w:w="85" w:type="dxa"/>
              <w:bottom w:w="85" w:type="dxa"/>
            </w:tcMar>
          </w:tcPr>
          <w:p w:rsidR="00DC50EA" w:rsidRPr="00360F70" w:rsidRDefault="00494D0C" w:rsidP="00494D0C">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DC50EA" w:rsidRPr="00360F70" w:rsidRDefault="00DC50EA"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DC50EA" w:rsidRPr="00360F70" w:rsidRDefault="00DC50E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50EA" w:rsidRPr="00360F70" w:rsidRDefault="00DC50EA" w:rsidP="006221FD">
            <w:pPr>
              <w:widowControl w:val="0"/>
              <w:rPr>
                <w:rFonts w:ascii="Verdana" w:hAnsi="Verdana" w:cs="Tahoma"/>
                <w:sz w:val="16"/>
                <w:szCs w:val="16"/>
              </w:rPr>
            </w:pPr>
            <w:r w:rsidRPr="00360F70">
              <w:rPr>
                <w:rFonts w:ascii="Verdana" w:hAnsi="Verdana"/>
                <w:sz w:val="16"/>
              </w:rPr>
              <w:t>De smörjmedel som används ska utvärderas före användningen och lämpliga åtgärder ska vidtas för att minska risken till godtagbara nivåer.</w:t>
            </w:r>
          </w:p>
        </w:tc>
        <w:tc>
          <w:tcPr>
            <w:tcW w:w="1843" w:type="dxa"/>
            <w:tcBorders>
              <w:top w:val="single" w:sz="4" w:space="0" w:color="auto"/>
              <w:bottom w:val="single" w:sz="4" w:space="0" w:color="auto"/>
            </w:tcBorders>
            <w:shd w:val="clear" w:color="auto" w:fill="auto"/>
            <w:tcMar>
              <w:top w:w="85" w:type="dxa"/>
              <w:bottom w:w="85" w:type="dxa"/>
            </w:tcMar>
          </w:tcPr>
          <w:p w:rsidR="00DC50EA" w:rsidRPr="00360F70" w:rsidRDefault="00DC50EA" w:rsidP="004E54A8">
            <w:pPr>
              <w:widowControl w:val="0"/>
              <w:rPr>
                <w:rFonts w:ascii="Verdana" w:hAnsi="Verdana" w:cs="Arial Narrow"/>
                <w:sz w:val="16"/>
                <w:szCs w:val="16"/>
              </w:rPr>
            </w:pPr>
            <w:proofErr w:type="spellStart"/>
            <w:r w:rsidRPr="00360F70">
              <w:rPr>
                <w:rFonts w:ascii="Verdana" w:hAnsi="Verdana"/>
                <w:sz w:val="16"/>
              </w:rPr>
              <w:t>Inköps</w:t>
            </w:r>
            <w:r w:rsidRPr="00360F70">
              <w:softHyphen/>
            </w:r>
            <w:r w:rsidRPr="00360F70">
              <w:rPr>
                <w:rFonts w:ascii="Verdana" w:hAnsi="Verdana"/>
                <w:sz w:val="16"/>
              </w:rPr>
              <w:t>specifikationer</w:t>
            </w:r>
            <w:proofErr w:type="spellEnd"/>
            <w:r w:rsidRPr="00360F70">
              <w:rPr>
                <w:rFonts w:ascii="Verdana" w:hAnsi="Verdana"/>
                <w:sz w:val="16"/>
              </w:rPr>
              <w:t>. Risken är liten eftersom oljor kontrolleras före användning.</w:t>
            </w:r>
          </w:p>
        </w:tc>
      </w:tr>
      <w:tr w:rsidR="00993467" w:rsidRPr="00360F70" w:rsidTr="003E010C">
        <w:trPr>
          <w:trHeight w:val="751"/>
        </w:trPr>
        <w:tc>
          <w:tcPr>
            <w:tcW w:w="1908"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lastRenderedPageBreak/>
              <w:t>Insekter och gnagare</w:t>
            </w:r>
          </w:p>
        </w:tc>
        <w:tc>
          <w:tcPr>
            <w:tcW w:w="654"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B</w:t>
            </w:r>
          </w:p>
        </w:tc>
        <w:tc>
          <w:tcPr>
            <w:tcW w:w="948"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Måttlig</w:t>
            </w:r>
          </w:p>
        </w:tc>
        <w:tc>
          <w:tcPr>
            <w:tcW w:w="1418"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Liten</w:t>
            </w:r>
          </w:p>
        </w:tc>
        <w:tc>
          <w:tcPr>
            <w:tcW w:w="850"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 xml:space="preserve">Program för att säkra byggnader, rengöringsprogram och system för </w:t>
            </w:r>
            <w:proofErr w:type="spellStart"/>
            <w:r w:rsidRPr="00360F70">
              <w:rPr>
                <w:rFonts w:ascii="Verdana" w:hAnsi="Verdana"/>
                <w:sz w:val="16"/>
              </w:rPr>
              <w:t>skadedjurs</w:t>
            </w:r>
            <w:r w:rsidRPr="00360F70">
              <w:softHyphen/>
            </w:r>
            <w:r w:rsidRPr="00360F70">
              <w:rPr>
                <w:rFonts w:ascii="Verdana" w:hAnsi="Verdana"/>
                <w:sz w:val="16"/>
              </w:rPr>
              <w:t>bekämpning</w:t>
            </w:r>
            <w:proofErr w:type="spellEnd"/>
            <w:r w:rsidRPr="00360F70">
              <w:rPr>
                <w:rFonts w:ascii="Verdana" w:hAnsi="Verdana"/>
                <w:sz w:val="16"/>
              </w:rPr>
              <w:t xml:space="preserve"> som en del av grundförutsättningarna.</w:t>
            </w:r>
          </w:p>
        </w:tc>
        <w:tc>
          <w:tcPr>
            <w:tcW w:w="1843" w:type="dxa"/>
            <w:tcBorders>
              <w:top w:val="single" w:sz="4" w:space="0" w:color="auto"/>
              <w:bottom w:val="single" w:sz="4" w:space="0" w:color="auto"/>
            </w:tcBorders>
            <w:shd w:val="clear" w:color="auto" w:fill="auto"/>
            <w:tcMar>
              <w:top w:w="85" w:type="dxa"/>
              <w:bottom w:w="85" w:type="dxa"/>
            </w:tcMar>
          </w:tcPr>
          <w:p w:rsidR="00993467" w:rsidRPr="00360F70" w:rsidRDefault="00993467" w:rsidP="004E54A8">
            <w:pPr>
              <w:widowControl w:val="0"/>
              <w:rPr>
                <w:rFonts w:ascii="Verdana" w:hAnsi="Verdana" w:cs="Arial Narrow"/>
                <w:sz w:val="16"/>
                <w:szCs w:val="16"/>
              </w:rPr>
            </w:pPr>
          </w:p>
        </w:tc>
      </w:tr>
      <w:tr w:rsidR="00BA26DA" w:rsidRPr="00360F70" w:rsidTr="003E010C">
        <w:trPr>
          <w:trHeight w:val="751"/>
        </w:trPr>
        <w:tc>
          <w:tcPr>
            <w:tcW w:w="1908" w:type="dxa"/>
            <w:tcBorders>
              <w:top w:val="single" w:sz="4" w:space="0" w:color="auto"/>
              <w:bottom w:val="single" w:sz="4" w:space="0" w:color="auto"/>
            </w:tcBorders>
            <w:shd w:val="clear" w:color="auto" w:fill="auto"/>
            <w:tcMar>
              <w:top w:w="85" w:type="dxa"/>
              <w:bottom w:w="85" w:type="dxa"/>
            </w:tcMar>
          </w:tcPr>
          <w:p w:rsidR="00BA26DA" w:rsidRPr="00360F70" w:rsidRDefault="00A31C4F" w:rsidP="00A31C4F">
            <w:pPr>
              <w:widowControl w:val="0"/>
              <w:rPr>
                <w:rFonts w:ascii="Verdana" w:hAnsi="Verdana" w:cs="Tahoma"/>
                <w:b/>
                <w:bCs/>
                <w:sz w:val="16"/>
                <w:szCs w:val="16"/>
              </w:rPr>
            </w:pPr>
            <w:proofErr w:type="spellStart"/>
            <w:r w:rsidRPr="00360F70">
              <w:rPr>
                <w:rFonts w:ascii="Verdana" w:hAnsi="Verdana"/>
                <w:b/>
                <w:sz w:val="16"/>
              </w:rPr>
              <w:t>Kors</w:t>
            </w:r>
            <w:r w:rsidRPr="00360F70">
              <w:softHyphen/>
            </w:r>
            <w:r w:rsidRPr="00360F70">
              <w:rPr>
                <w:rFonts w:ascii="Verdana" w:hAnsi="Verdana"/>
                <w:b/>
                <w:sz w:val="16"/>
              </w:rPr>
              <w:t>kontaminering</w:t>
            </w:r>
            <w:proofErr w:type="spellEnd"/>
            <w:r w:rsidRPr="00360F70">
              <w:rPr>
                <w:rFonts w:ascii="Verdana" w:hAnsi="Verdana"/>
                <w:b/>
                <w:sz w:val="16"/>
              </w:rPr>
              <w:t xml:space="preserve"> på grund av produkter som hanterats tidigare</w:t>
            </w:r>
          </w:p>
        </w:tc>
        <w:tc>
          <w:tcPr>
            <w:tcW w:w="654" w:type="dxa"/>
            <w:tcBorders>
              <w:top w:val="single" w:sz="4" w:space="0" w:color="auto"/>
              <w:bottom w:val="single" w:sz="4" w:space="0" w:color="auto"/>
            </w:tcBorders>
            <w:shd w:val="clear" w:color="auto" w:fill="auto"/>
            <w:tcMar>
              <w:top w:w="85" w:type="dxa"/>
              <w:bottom w:w="85" w:type="dxa"/>
            </w:tcMar>
          </w:tcPr>
          <w:p w:rsidR="00BA26DA" w:rsidRPr="00360F70" w:rsidRDefault="00493677" w:rsidP="004E54A8">
            <w:pPr>
              <w:widowControl w:val="0"/>
              <w:jc w:val="center"/>
              <w:rPr>
                <w:rFonts w:ascii="Verdana" w:hAnsi="Verdana" w:cs="Tahoma"/>
                <w:sz w:val="16"/>
                <w:szCs w:val="16"/>
              </w:rPr>
            </w:pPr>
            <w:r w:rsidRPr="00360F70">
              <w:rPr>
                <w:rFonts w:ascii="Verdana" w:hAnsi="Verdana"/>
                <w:sz w:val="16"/>
              </w:rPr>
              <w:t>C/B/P</w:t>
            </w:r>
          </w:p>
        </w:tc>
        <w:tc>
          <w:tcPr>
            <w:tcW w:w="948" w:type="dxa"/>
            <w:tcBorders>
              <w:top w:val="single" w:sz="4" w:space="0" w:color="auto"/>
              <w:bottom w:val="single" w:sz="4" w:space="0" w:color="auto"/>
            </w:tcBorders>
            <w:shd w:val="clear" w:color="auto" w:fill="auto"/>
            <w:tcMar>
              <w:top w:w="85" w:type="dxa"/>
              <w:bottom w:w="85" w:type="dxa"/>
            </w:tcMar>
          </w:tcPr>
          <w:p w:rsidR="00BA26DA" w:rsidRPr="00360F70" w:rsidRDefault="00493677"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shd w:val="clear" w:color="auto" w:fill="auto"/>
            <w:tcMar>
              <w:top w:w="85" w:type="dxa"/>
              <w:bottom w:w="85" w:type="dxa"/>
            </w:tcMar>
          </w:tcPr>
          <w:p w:rsidR="00BA26DA" w:rsidRPr="00360F70" w:rsidRDefault="00493677"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auto"/>
            <w:tcMar>
              <w:top w:w="85" w:type="dxa"/>
              <w:bottom w:w="85" w:type="dxa"/>
            </w:tcMar>
          </w:tcPr>
          <w:p w:rsidR="00BA26DA" w:rsidRPr="00360F70" w:rsidRDefault="00493677"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BA26DA" w:rsidRPr="00360F70" w:rsidRDefault="00CF1843" w:rsidP="00384D26">
            <w:pPr>
              <w:widowControl w:val="0"/>
              <w:rPr>
                <w:rFonts w:ascii="Verdana" w:hAnsi="Verdana" w:cs="Tahoma"/>
                <w:sz w:val="16"/>
                <w:szCs w:val="16"/>
              </w:rPr>
            </w:pPr>
            <w:r w:rsidRPr="00360F70">
              <w:rPr>
                <w:rFonts w:ascii="Verdana" w:hAnsi="Verdana"/>
                <w:sz w:val="16"/>
              </w:rPr>
              <w:t xml:space="preserve">Risken för korskontaminering är liten om aktören kan styrka att rutinerna för spolning och rengöring är effektiva. </w:t>
            </w:r>
          </w:p>
        </w:tc>
        <w:tc>
          <w:tcPr>
            <w:tcW w:w="2127" w:type="dxa"/>
            <w:tcBorders>
              <w:top w:val="single" w:sz="4" w:space="0" w:color="auto"/>
              <w:bottom w:val="single" w:sz="4" w:space="0" w:color="auto"/>
            </w:tcBorders>
            <w:shd w:val="clear" w:color="auto" w:fill="auto"/>
            <w:tcMar>
              <w:top w:w="85" w:type="dxa"/>
              <w:bottom w:w="85" w:type="dxa"/>
            </w:tcMar>
          </w:tcPr>
          <w:p w:rsidR="00BA26DA" w:rsidRPr="00360F70" w:rsidRDefault="00BA26D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BA26DA" w:rsidRPr="00360F70" w:rsidRDefault="00CF1843" w:rsidP="004E54A8">
            <w:pPr>
              <w:widowControl w:val="0"/>
              <w:rPr>
                <w:rFonts w:ascii="Verdana" w:hAnsi="Verdana" w:cs="Tahoma"/>
                <w:sz w:val="16"/>
                <w:szCs w:val="16"/>
              </w:rPr>
            </w:pPr>
            <w:r w:rsidRPr="00360F70">
              <w:rPr>
                <w:rFonts w:ascii="Verdana" w:hAnsi="Verdana"/>
                <w:sz w:val="16"/>
              </w:rPr>
              <w:t>Ett strikt protokoll i HACCP-planen ska omfatta i) en godtagbar operationslängd för nya oljor och ii) revision som utförs av tredje part.</w:t>
            </w:r>
          </w:p>
        </w:tc>
        <w:tc>
          <w:tcPr>
            <w:tcW w:w="1843" w:type="dxa"/>
            <w:tcBorders>
              <w:top w:val="single" w:sz="4" w:space="0" w:color="auto"/>
              <w:bottom w:val="single" w:sz="4" w:space="0" w:color="auto"/>
            </w:tcBorders>
            <w:shd w:val="clear" w:color="auto" w:fill="auto"/>
            <w:tcMar>
              <w:top w:w="85" w:type="dxa"/>
              <w:bottom w:w="85" w:type="dxa"/>
            </w:tcMar>
          </w:tcPr>
          <w:p w:rsidR="00BA26DA" w:rsidRPr="00360F70" w:rsidRDefault="00A31C4F" w:rsidP="004E54A8">
            <w:pPr>
              <w:widowControl w:val="0"/>
              <w:rPr>
                <w:rFonts w:ascii="Verdana" w:hAnsi="Verdana" w:cs="Arial Narrow"/>
                <w:sz w:val="16"/>
                <w:szCs w:val="16"/>
              </w:rPr>
            </w:pPr>
            <w:r w:rsidRPr="00360F70">
              <w:rPr>
                <w:rFonts w:ascii="Verdana" w:hAnsi="Verdana"/>
                <w:sz w:val="16"/>
              </w:rPr>
              <w:t>Anläggningar som tar emot flera slags råmaterial och som vill arbeta med färska oljor efter en period med bearbetning av djurfetter eller förbrukade matoljor från restaurangavfall kategori 1 och 2.</w:t>
            </w:r>
          </w:p>
        </w:tc>
      </w:tr>
    </w:tbl>
    <w:p w:rsidR="00E33DAE" w:rsidRPr="00360F70" w:rsidRDefault="00E33DAE" w:rsidP="002E52C2">
      <w:pPr>
        <w:rPr>
          <w:rFonts w:ascii="Verdana" w:hAnsi="Verdana"/>
        </w:rPr>
      </w:pPr>
    </w:p>
    <w:p w:rsidR="00224937" w:rsidRPr="00360F70" w:rsidRDefault="00224937" w:rsidP="002E52C2">
      <w:pPr>
        <w:rPr>
          <w:rFonts w:ascii="Verdana" w:hAnsi="Verdana"/>
        </w:rPr>
      </w:pPr>
    </w:p>
    <w:p w:rsidR="00300F3C" w:rsidRPr="00360F70" w:rsidRDefault="00300F3C" w:rsidP="002E52C2">
      <w:pPr>
        <w:rPr>
          <w:rFonts w:ascii="Verdana" w:hAnsi="Verdana"/>
        </w:rPr>
      </w:pPr>
    </w:p>
    <w:p w:rsidR="00E33DAE" w:rsidRPr="00360F70" w:rsidRDefault="00E33DAE"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46"/>
        <w:gridCol w:w="979"/>
        <w:gridCol w:w="1418"/>
        <w:gridCol w:w="850"/>
        <w:gridCol w:w="2268"/>
        <w:gridCol w:w="1985"/>
        <w:gridCol w:w="2551"/>
        <w:gridCol w:w="2127"/>
      </w:tblGrid>
      <w:tr w:rsidR="00C724B8" w:rsidRPr="00360F70" w:rsidTr="00993467">
        <w:trPr>
          <w:trHeight w:val="145"/>
        </w:trPr>
        <w:tc>
          <w:tcPr>
            <w:tcW w:w="4928" w:type="dxa"/>
            <w:gridSpan w:val="4"/>
            <w:tcBorders>
              <w:bottom w:val="single" w:sz="4" w:space="0" w:color="auto"/>
            </w:tcBorders>
            <w:shd w:val="clear" w:color="auto" w:fill="0DA72A"/>
            <w:tcMar>
              <w:top w:w="57" w:type="dxa"/>
              <w:bottom w:w="57" w:type="dxa"/>
            </w:tcMar>
            <w:vAlign w:val="center"/>
          </w:tcPr>
          <w:p w:rsidR="00C724B8" w:rsidRPr="00360F70" w:rsidRDefault="00E80F73" w:rsidP="00C724B8">
            <w:pPr>
              <w:widowControl w:val="0"/>
              <w:spacing w:before="20" w:after="20"/>
              <w:ind w:left="85" w:right="85"/>
              <w:rPr>
                <w:rFonts w:ascii="Verdana" w:hAnsi="Verdana"/>
                <w:b/>
                <w:color w:val="FFFFFF"/>
                <w:sz w:val="32"/>
                <w:szCs w:val="32"/>
              </w:rPr>
            </w:pPr>
            <w:r w:rsidRPr="00360F70">
              <w:rPr>
                <w:rFonts w:ascii="Verdana" w:hAnsi="Verdana"/>
                <w:b/>
                <w:color w:val="FFFFFF"/>
                <w:sz w:val="32"/>
              </w:rPr>
              <w:t>8. Riskbaserad strategi för glycerin</w:t>
            </w:r>
          </w:p>
          <w:p w:rsidR="00C724B8" w:rsidRPr="00360F70"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360F70" w:rsidRDefault="00C724B8" w:rsidP="004E54A8">
            <w:pPr>
              <w:widowControl w:val="0"/>
              <w:rPr>
                <w:rFonts w:ascii="Verdana" w:hAnsi="Verdana" w:cs="Tahoma"/>
                <w:b/>
                <w:color w:val="FFFFFF"/>
                <w:sz w:val="28"/>
                <w:szCs w:val="28"/>
              </w:rPr>
            </w:pPr>
            <w:r w:rsidRPr="00360F70">
              <w:rPr>
                <w:rFonts w:ascii="Verdana" w:hAnsi="Verdana"/>
                <w:b/>
                <w:color w:val="FFFFFF"/>
                <w:sz w:val="28"/>
              </w:rPr>
              <w:t>2. Mottagning av vegetabiliska oljor som råmaterial</w:t>
            </w:r>
          </w:p>
        </w:tc>
      </w:tr>
      <w:tr w:rsidR="00993467" w:rsidRPr="00360F70" w:rsidTr="00993467">
        <w:trPr>
          <w:trHeight w:val="145"/>
        </w:trPr>
        <w:tc>
          <w:tcPr>
            <w:tcW w:w="1885"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46"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979"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8"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850"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268"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1985" w:type="dxa"/>
            <w:tcBorders>
              <w:bottom w:val="single" w:sz="4" w:space="0" w:color="auto"/>
            </w:tcBorders>
            <w:shd w:val="clear" w:color="auto" w:fill="0DA72A"/>
            <w:tcMar>
              <w:top w:w="28" w:type="dxa"/>
              <w:bottom w:w="28" w:type="dxa"/>
            </w:tcMar>
            <w:vAlign w:val="center"/>
          </w:tcPr>
          <w:p w:rsidR="00993467" w:rsidRPr="00360F70" w:rsidRDefault="00993467" w:rsidP="00073614">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w:t>
            </w:r>
          </w:p>
        </w:tc>
        <w:tc>
          <w:tcPr>
            <w:tcW w:w="2551"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993467" w:rsidRPr="00360F70" w:rsidTr="00F81C3B">
        <w:trPr>
          <w:trHeight w:val="145"/>
        </w:trPr>
        <w:tc>
          <w:tcPr>
            <w:tcW w:w="1885" w:type="dxa"/>
            <w:tcBorders>
              <w:bottom w:val="single" w:sz="4" w:space="0" w:color="auto"/>
            </w:tcBorders>
            <w:tcMar>
              <w:top w:w="85" w:type="dxa"/>
              <w:bottom w:w="85" w:type="dxa"/>
            </w:tcMar>
          </w:tcPr>
          <w:p w:rsidR="00993467" w:rsidRPr="00360F70" w:rsidRDefault="00993467" w:rsidP="00F13477">
            <w:pPr>
              <w:widowControl w:val="0"/>
              <w:rPr>
                <w:rFonts w:ascii="Verdana" w:hAnsi="Verdana" w:cs="Tahoma"/>
                <w:b/>
                <w:bCs/>
                <w:sz w:val="16"/>
                <w:szCs w:val="16"/>
              </w:rPr>
            </w:pPr>
            <w:r w:rsidRPr="00360F70">
              <w:rPr>
                <w:rFonts w:ascii="Verdana" w:hAnsi="Verdana"/>
                <w:b/>
                <w:sz w:val="16"/>
              </w:rPr>
              <w:t>Kontaminering från föregående last vid transport i lastbil eller på pråm eller havsgående fartyg</w:t>
            </w:r>
          </w:p>
        </w:tc>
        <w:tc>
          <w:tcPr>
            <w:tcW w:w="646" w:type="dxa"/>
            <w:tcBorders>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bottom w:val="single" w:sz="4" w:space="0" w:color="auto"/>
            </w:tcBorders>
            <w:tcMar>
              <w:top w:w="85" w:type="dxa"/>
              <w:bottom w:w="85" w:type="dxa"/>
            </w:tcMar>
          </w:tcPr>
          <w:p w:rsidR="00993467" w:rsidRPr="00360F70" w:rsidRDefault="00FF185B" w:rsidP="00F13477">
            <w:pPr>
              <w:widowControl w:val="0"/>
              <w:jc w:val="center"/>
              <w:rPr>
                <w:rFonts w:ascii="Verdana" w:hAnsi="Verdana" w:cs="Tahoma"/>
                <w:sz w:val="16"/>
                <w:szCs w:val="16"/>
              </w:rPr>
            </w:pPr>
            <w:r w:rsidRPr="00360F70">
              <w:rPr>
                <w:rFonts w:ascii="Verdana" w:hAnsi="Verdana"/>
                <w:sz w:val="16"/>
              </w:rPr>
              <w:t>Liten</w:t>
            </w:r>
          </w:p>
        </w:tc>
        <w:tc>
          <w:tcPr>
            <w:tcW w:w="1418" w:type="dxa"/>
            <w:tcBorders>
              <w:bottom w:val="single" w:sz="4" w:space="0" w:color="auto"/>
            </w:tcBorders>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850" w:type="dxa"/>
            <w:tcBorders>
              <w:bottom w:val="single" w:sz="4" w:space="0" w:color="auto"/>
            </w:tcBorders>
            <w:shd w:val="clear" w:color="auto" w:fill="FFC000"/>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3</w:t>
            </w:r>
          </w:p>
        </w:tc>
        <w:tc>
          <w:tcPr>
            <w:tcW w:w="2268" w:type="dxa"/>
            <w:tcBorders>
              <w:bottom w:val="single" w:sz="4" w:space="0" w:color="auto"/>
            </w:tcBorders>
            <w:tcMar>
              <w:top w:w="85" w:type="dxa"/>
              <w:bottom w:w="85" w:type="dxa"/>
            </w:tcMar>
          </w:tcPr>
          <w:p w:rsidR="006221FD" w:rsidRPr="00360F70" w:rsidRDefault="00993467" w:rsidP="006221FD">
            <w:pPr>
              <w:rPr>
                <w:rFonts w:ascii="Verdana" w:hAnsi="Verdana"/>
                <w:sz w:val="16"/>
                <w:szCs w:val="16"/>
              </w:rPr>
            </w:pPr>
            <w:r w:rsidRPr="00360F70">
              <w:rPr>
                <w:rFonts w:ascii="Verdana" w:hAnsi="Verdana"/>
                <w:sz w:val="16"/>
              </w:rPr>
              <w:t>Transport av vegetabiliska oljor sker oftast i dedikerade transportfordon.</w:t>
            </w:r>
          </w:p>
          <w:p w:rsidR="00993467" w:rsidRPr="00360F70" w:rsidRDefault="00993467" w:rsidP="004E54A8">
            <w:pPr>
              <w:widowControl w:val="0"/>
              <w:rPr>
                <w:rFonts w:ascii="Verdana" w:hAnsi="Verdana" w:cs="Tahoma"/>
                <w:sz w:val="16"/>
                <w:szCs w:val="16"/>
              </w:rPr>
            </w:pPr>
          </w:p>
        </w:tc>
        <w:tc>
          <w:tcPr>
            <w:tcW w:w="1985" w:type="dxa"/>
            <w:tcBorders>
              <w:bottom w:val="single" w:sz="4" w:space="0" w:color="auto"/>
            </w:tcBorders>
            <w:tcMar>
              <w:top w:w="85" w:type="dxa"/>
              <w:bottom w:w="85" w:type="dxa"/>
            </w:tcMar>
          </w:tcPr>
          <w:p w:rsidR="00993467" w:rsidRPr="00360F70" w:rsidRDefault="00993467" w:rsidP="006221FD">
            <w:pPr>
              <w:rPr>
                <w:rFonts w:ascii="Verdana" w:hAnsi="Verdana" w:cs="Tahoma"/>
                <w:sz w:val="16"/>
                <w:szCs w:val="16"/>
              </w:rPr>
            </w:pPr>
          </w:p>
        </w:tc>
        <w:tc>
          <w:tcPr>
            <w:tcW w:w="2551" w:type="dxa"/>
            <w:tcBorders>
              <w:bottom w:val="single" w:sz="4" w:space="0" w:color="auto"/>
            </w:tcBorders>
            <w:tcMar>
              <w:top w:w="85" w:type="dxa"/>
              <w:bottom w:w="85" w:type="dxa"/>
            </w:tcMar>
          </w:tcPr>
          <w:p w:rsidR="00993467" w:rsidRPr="00360F70" w:rsidRDefault="006221FD" w:rsidP="004E54A8">
            <w:pPr>
              <w:widowControl w:val="0"/>
              <w:rPr>
                <w:rFonts w:ascii="Verdana" w:hAnsi="Verdana"/>
                <w:sz w:val="16"/>
                <w:szCs w:val="16"/>
              </w:rPr>
            </w:pPr>
            <w:r w:rsidRPr="00360F70">
              <w:rPr>
                <w:rFonts w:ascii="Verdana" w:hAnsi="Verdana"/>
                <w:sz w:val="16"/>
              </w:rPr>
              <w:t>Risken måste utvärderas och lämpliga åtgärder vidtas för att ta ned risken till godtagbara nivåer. Dedikerade transporter, kontroll av de föregående tre lasterna.</w:t>
            </w:r>
          </w:p>
        </w:tc>
        <w:tc>
          <w:tcPr>
            <w:tcW w:w="2127" w:type="dxa"/>
            <w:tcBorders>
              <w:bottom w:val="single" w:sz="4" w:space="0" w:color="auto"/>
            </w:tcBorders>
            <w:tcMar>
              <w:top w:w="85" w:type="dxa"/>
              <w:bottom w:w="85" w:type="dxa"/>
            </w:tcMar>
          </w:tcPr>
          <w:p w:rsidR="00993467" w:rsidRPr="00360F70" w:rsidRDefault="00993467" w:rsidP="003E010C">
            <w:pPr>
              <w:widowControl w:val="0"/>
              <w:jc w:val="center"/>
              <w:rPr>
                <w:rFonts w:ascii="Verdana" w:hAnsi="Verdana" w:cs="Tahoma"/>
                <w:sz w:val="16"/>
                <w:szCs w:val="16"/>
              </w:rPr>
            </w:pPr>
            <w:r w:rsidRPr="00360F70">
              <w:rPr>
                <w:rFonts w:ascii="Verdana" w:hAnsi="Verdana"/>
                <w:sz w:val="16"/>
              </w:rPr>
              <w:t>Visuella kontroller</w:t>
            </w:r>
          </w:p>
        </w:tc>
      </w:tr>
      <w:tr w:rsidR="00993467" w:rsidRPr="00360F70" w:rsidTr="00993467">
        <w:trPr>
          <w:trHeight w:val="145"/>
        </w:trPr>
        <w:tc>
          <w:tcPr>
            <w:tcW w:w="1885" w:type="dxa"/>
            <w:tcBorders>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 xml:space="preserve">Främmande ämnen </w:t>
            </w:r>
          </w:p>
        </w:tc>
        <w:tc>
          <w:tcPr>
            <w:tcW w:w="646" w:type="dxa"/>
            <w:tcBorders>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P</w:t>
            </w:r>
          </w:p>
        </w:tc>
        <w:tc>
          <w:tcPr>
            <w:tcW w:w="979" w:type="dxa"/>
            <w:tcBorders>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 xml:space="preserve">Liten </w:t>
            </w:r>
          </w:p>
        </w:tc>
        <w:tc>
          <w:tcPr>
            <w:tcW w:w="1418" w:type="dxa"/>
            <w:tcBorders>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 xml:space="preserve">Liten </w:t>
            </w:r>
          </w:p>
        </w:tc>
        <w:tc>
          <w:tcPr>
            <w:tcW w:w="850" w:type="dxa"/>
            <w:tcBorders>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 xml:space="preserve">1 </w:t>
            </w:r>
          </w:p>
        </w:tc>
        <w:tc>
          <w:tcPr>
            <w:tcW w:w="2268" w:type="dxa"/>
            <w:tcBorders>
              <w:bottom w:val="single" w:sz="4" w:space="0" w:color="auto"/>
            </w:tcBorders>
            <w:tcMar>
              <w:top w:w="85" w:type="dxa"/>
              <w:bottom w:w="85" w:type="dxa"/>
            </w:tcMar>
          </w:tcPr>
          <w:p w:rsidR="00993467" w:rsidRPr="00360F70" w:rsidRDefault="00993467" w:rsidP="00916B7E">
            <w:pPr>
              <w:widowControl w:val="0"/>
              <w:rPr>
                <w:rFonts w:ascii="Verdana" w:hAnsi="Verdana" w:cs="Tahoma"/>
                <w:sz w:val="16"/>
                <w:szCs w:val="16"/>
              </w:rPr>
            </w:pPr>
            <w:r w:rsidRPr="00360F70">
              <w:rPr>
                <w:rFonts w:ascii="Verdana" w:hAnsi="Verdana"/>
                <w:sz w:val="16"/>
              </w:rPr>
              <w:t>Främmande ämnen kan förekomma.</w:t>
            </w:r>
          </w:p>
        </w:tc>
        <w:tc>
          <w:tcPr>
            <w:tcW w:w="1985" w:type="dxa"/>
            <w:tcBorders>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Dedikerade byggnader och kretsloppsfilter, personalhygien, rutiner för glas, goda rutiner för underhåll.</w:t>
            </w:r>
          </w:p>
        </w:tc>
        <w:tc>
          <w:tcPr>
            <w:tcW w:w="2127" w:type="dxa"/>
            <w:tcBorders>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r>
      <w:tr w:rsidR="00993467" w:rsidRPr="00360F70" w:rsidTr="00F81C3B">
        <w:trPr>
          <w:trHeight w:val="145"/>
        </w:trPr>
        <w:tc>
          <w:tcPr>
            <w:tcW w:w="18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lastRenderedPageBreak/>
              <w:t>Kontaminering med främmande ämnen</w:t>
            </w:r>
          </w:p>
          <w:p w:rsidR="00993467" w:rsidRPr="00360F70" w:rsidRDefault="00993467"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FF185B" w:rsidP="00FF185B">
            <w:pPr>
              <w:widowControl w:val="0"/>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FF185B" w:rsidP="00F13477">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4A2A8A" w:rsidRPr="00360F70" w:rsidRDefault="004A2A8A" w:rsidP="004E54A8">
            <w:pPr>
              <w:widowControl w:val="0"/>
              <w:rPr>
                <w:rFonts w:ascii="Verdana" w:hAnsi="Verdana" w:cs="Tahoma"/>
                <w:sz w:val="16"/>
                <w:szCs w:val="16"/>
              </w:rPr>
            </w:pPr>
          </w:p>
          <w:p w:rsidR="0072409A" w:rsidRPr="00360F70" w:rsidRDefault="0072409A" w:rsidP="004E54A8">
            <w:pPr>
              <w:widowControl w:val="0"/>
              <w:rPr>
                <w:rFonts w:ascii="Verdana" w:hAnsi="Verdana" w:cs="Tahoma"/>
                <w:sz w:val="16"/>
                <w:szCs w:val="16"/>
              </w:rPr>
            </w:pPr>
            <w:r w:rsidRPr="00360F70">
              <w:rPr>
                <w:rFonts w:ascii="Verdana" w:hAnsi="Verdana"/>
                <w:sz w:val="16"/>
              </w:rPr>
              <w:t>De främmande ämnen som anges nedan ansamlas vanligen inte i glycerinen utan i metylestrar av fettsyror.</w:t>
            </w:r>
          </w:p>
        </w:tc>
        <w:tc>
          <w:tcPr>
            <w:tcW w:w="1985" w:type="dxa"/>
            <w:tcBorders>
              <w:top w:val="single" w:sz="4" w:space="0" w:color="auto"/>
              <w:bottom w:val="single" w:sz="4" w:space="0" w:color="auto"/>
            </w:tcBorders>
            <w:tcMar>
              <w:top w:w="85" w:type="dxa"/>
              <w:bottom w:w="85" w:type="dxa"/>
            </w:tcMar>
          </w:tcPr>
          <w:p w:rsidR="00993467" w:rsidRPr="00360F70" w:rsidRDefault="0072409A" w:rsidP="004E54A8">
            <w:pPr>
              <w:widowControl w:val="0"/>
              <w:rPr>
                <w:rFonts w:ascii="Verdana" w:hAnsi="Verdana"/>
                <w:sz w:val="16"/>
                <w:szCs w:val="16"/>
              </w:rPr>
            </w:pPr>
            <w:r w:rsidRPr="00360F70">
              <w:rPr>
                <w:rFonts w:ascii="Verdana" w:hAnsi="Verdana"/>
                <w:sz w:val="16"/>
              </w:rPr>
              <w:t>Direktiv 32/2002/EG om främmande ämnen och produkter i djurfoder</w:t>
            </w:r>
          </w:p>
          <w:p w:rsidR="00993467" w:rsidRPr="00360F70" w:rsidRDefault="00993467"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360F70" w:rsidRDefault="00993467" w:rsidP="00127622">
            <w:pPr>
              <w:widowControl w:val="0"/>
              <w:rPr>
                <w:rFonts w:ascii="Verdana" w:hAnsi="Verdana" w:cs="Tahoma"/>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Risken för kontaminering med främmande ämnen är i normala fall LITEN – om tillverkaren köper råmaterial av lägre kvalitet ökar risken till måttlig.</w:t>
            </w:r>
          </w:p>
        </w:tc>
      </w:tr>
      <w:tr w:rsidR="00993467" w:rsidRPr="00360F70" w:rsidTr="00515881">
        <w:trPr>
          <w:trHeight w:val="145"/>
        </w:trPr>
        <w:tc>
          <w:tcPr>
            <w:tcW w:w="1885" w:type="dxa"/>
            <w:tcBorders>
              <w:top w:val="single" w:sz="4" w:space="0" w:color="auto"/>
              <w:bottom w:val="single" w:sz="4" w:space="0" w:color="auto"/>
            </w:tcBorders>
            <w:tcMar>
              <w:top w:w="85" w:type="dxa"/>
              <w:bottom w:w="85" w:type="dxa"/>
            </w:tcMar>
          </w:tcPr>
          <w:p w:rsidR="00993467" w:rsidRPr="00360F70" w:rsidRDefault="00993467" w:rsidP="0085166B">
            <w:pPr>
              <w:widowControl w:val="0"/>
              <w:rPr>
                <w:rFonts w:ascii="Verdana" w:hAnsi="Verdana" w:cs="Tahoma"/>
                <w:b/>
                <w:bCs/>
                <w:sz w:val="16"/>
                <w:szCs w:val="16"/>
              </w:rPr>
            </w:pPr>
            <w:r w:rsidRPr="00360F70">
              <w:rPr>
                <w:rFonts w:ascii="Verdana" w:hAnsi="Verdana"/>
                <w:b/>
                <w:sz w:val="16"/>
              </w:rPr>
              <w:t>– Dioxiner och dioxinlika PCB</w:t>
            </w: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CC2654" w:rsidP="004E54A8">
            <w:pPr>
              <w:widowControl w:val="0"/>
              <w:jc w:val="center"/>
              <w:rPr>
                <w:rFonts w:ascii="Verdana" w:hAnsi="Verdana" w:cs="Tahoma"/>
                <w:sz w:val="16"/>
                <w:szCs w:val="16"/>
              </w:rPr>
            </w:pPr>
            <w:r w:rsidRPr="00360F70">
              <w:rPr>
                <w:rFonts w:ascii="Verdana" w:hAnsi="Verdana"/>
                <w:sz w:val="16"/>
              </w:rPr>
              <w:t>Mycket 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auto"/>
            <w:tcMar>
              <w:top w:w="85" w:type="dxa"/>
              <w:bottom w:w="85" w:type="dxa"/>
            </w:tcMar>
          </w:tcPr>
          <w:p w:rsidR="00993467" w:rsidRPr="00360F70" w:rsidRDefault="00494D0C" w:rsidP="004E54A8">
            <w:pPr>
              <w:widowControl w:val="0"/>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360F70" w:rsidRDefault="004D7CE5" w:rsidP="004D7CE5">
            <w:pPr>
              <w:widowControl w:val="0"/>
              <w:rPr>
                <w:rFonts w:ascii="Verdana" w:hAnsi="Verdana" w:cs="Tahoma"/>
                <w:sz w:val="16"/>
                <w:szCs w:val="16"/>
              </w:rPr>
            </w:pPr>
            <w:r w:rsidRPr="00360F70">
              <w:rPr>
                <w:rFonts w:ascii="Verdana" w:hAnsi="Verdana"/>
                <w:sz w:val="16"/>
              </w:rPr>
              <w:t>Direktiv 2002/32/EG och förordning (EG) nr 225/2012</w:t>
            </w: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4D7CE5" w:rsidP="00C0787D">
            <w:pPr>
              <w:widowControl w:val="0"/>
              <w:rPr>
                <w:rFonts w:ascii="Verdana" w:hAnsi="Verdana" w:cs="Tahoma"/>
                <w:sz w:val="16"/>
                <w:szCs w:val="16"/>
              </w:rPr>
            </w:pPr>
            <w:r w:rsidRPr="00360F70">
              <w:rPr>
                <w:rFonts w:ascii="Verdana" w:hAnsi="Verdana"/>
                <w:sz w:val="16"/>
              </w:rPr>
              <w:t>I förordning (EU) nr 225/2012 om bl.a. kontroll av dioxiner föreskrivs 100 % övervakning av vissa inkommande material avseende dioxin.</w:t>
            </w:r>
          </w:p>
        </w:tc>
      </w:tr>
      <w:tr w:rsidR="00993467" w:rsidRPr="00360F70" w:rsidTr="00F81C3B">
        <w:trPr>
          <w:trHeight w:val="145"/>
        </w:trPr>
        <w:tc>
          <w:tcPr>
            <w:tcW w:w="18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 Nickel</w:t>
            </w: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sz w:val="16"/>
                <w:szCs w:val="16"/>
              </w:rPr>
            </w:pPr>
            <w:r w:rsidRPr="00360F70">
              <w:rPr>
                <w:rFonts w:ascii="Verdana" w:hAnsi="Verdana"/>
                <w:sz w:val="16"/>
              </w:rPr>
              <w:t>Förordning (EU) nr 68/2013 om en förteckning över foderråvaror</w:t>
            </w: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CC2654" w:rsidP="00C0787D">
            <w:pPr>
              <w:widowControl w:val="0"/>
              <w:rPr>
                <w:rFonts w:ascii="Verdana" w:hAnsi="Verdana" w:cs="Tahoma"/>
                <w:sz w:val="16"/>
                <w:szCs w:val="16"/>
              </w:rPr>
            </w:pPr>
            <w:r w:rsidRPr="00360F70">
              <w:rPr>
                <w:rFonts w:ascii="Verdana" w:hAnsi="Verdana"/>
                <w:sz w:val="16"/>
              </w:rPr>
              <w:t xml:space="preserve">Nickel används vanligen inte vid </w:t>
            </w:r>
            <w:proofErr w:type="spellStart"/>
            <w:r w:rsidRPr="00360F70">
              <w:rPr>
                <w:rFonts w:ascii="Verdana" w:hAnsi="Verdana"/>
                <w:sz w:val="16"/>
              </w:rPr>
              <w:t>biodiesel</w:t>
            </w:r>
            <w:r w:rsidRPr="00360F70">
              <w:softHyphen/>
            </w:r>
            <w:r w:rsidRPr="00360F70">
              <w:rPr>
                <w:rFonts w:ascii="Verdana" w:hAnsi="Verdana"/>
                <w:sz w:val="16"/>
              </w:rPr>
              <w:t>tillverkning</w:t>
            </w:r>
            <w:proofErr w:type="spellEnd"/>
          </w:p>
        </w:tc>
      </w:tr>
      <w:tr w:rsidR="00993467" w:rsidRPr="00360F70" w:rsidTr="00515881">
        <w:trPr>
          <w:trHeight w:val="145"/>
        </w:trPr>
        <w:tc>
          <w:tcPr>
            <w:tcW w:w="1885" w:type="dxa"/>
            <w:tcBorders>
              <w:top w:val="single" w:sz="4" w:space="0" w:color="auto"/>
              <w:bottom w:val="single" w:sz="4" w:space="0" w:color="auto"/>
            </w:tcBorders>
            <w:tcMar>
              <w:top w:w="85" w:type="dxa"/>
              <w:bottom w:w="85" w:type="dxa"/>
            </w:tcMar>
          </w:tcPr>
          <w:p w:rsidR="00993467" w:rsidRPr="00360F70" w:rsidRDefault="006221FD" w:rsidP="004D7CE5">
            <w:pPr>
              <w:widowControl w:val="0"/>
              <w:rPr>
                <w:rFonts w:ascii="Verdana" w:hAnsi="Verdana" w:cs="Tahoma"/>
                <w:b/>
                <w:bCs/>
                <w:sz w:val="16"/>
                <w:szCs w:val="16"/>
              </w:rPr>
            </w:pPr>
            <w:r w:rsidRPr="00360F70">
              <w:rPr>
                <w:rFonts w:ascii="Verdana" w:hAnsi="Verdana"/>
                <w:b/>
                <w:sz w:val="16"/>
              </w:rPr>
              <w:t>– Icke dioxinlika PCB</w:t>
            </w: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CC2654" w:rsidP="004E54A8">
            <w:pPr>
              <w:widowControl w:val="0"/>
              <w:jc w:val="center"/>
              <w:rPr>
                <w:rFonts w:ascii="Verdana" w:hAnsi="Verdana" w:cs="Tahoma"/>
                <w:sz w:val="16"/>
                <w:szCs w:val="16"/>
              </w:rPr>
            </w:pPr>
            <w:r w:rsidRPr="00360F70">
              <w:rPr>
                <w:rFonts w:ascii="Verdana" w:hAnsi="Verdana"/>
                <w:sz w:val="16"/>
              </w:rPr>
              <w:t>Mycket 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auto"/>
            <w:tcMar>
              <w:top w:w="85" w:type="dxa"/>
              <w:bottom w:w="85" w:type="dxa"/>
            </w:tcMar>
          </w:tcPr>
          <w:p w:rsidR="00993467" w:rsidRPr="00360F70" w:rsidRDefault="00494D0C" w:rsidP="004E54A8">
            <w:pPr>
              <w:widowControl w:val="0"/>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360F70" w:rsidRDefault="00993467" w:rsidP="00CC2654">
            <w:pPr>
              <w:widowControl w:val="0"/>
              <w:rPr>
                <w:rFonts w:ascii="Verdana" w:hAnsi="Verdana"/>
                <w:sz w:val="16"/>
                <w:szCs w:val="16"/>
              </w:rPr>
            </w:pPr>
          </w:p>
          <w:p w:rsidR="004D7CE5" w:rsidRPr="00360F70" w:rsidRDefault="004D7CE5" w:rsidP="00CC2654">
            <w:pPr>
              <w:widowControl w:val="0"/>
              <w:rPr>
                <w:rFonts w:ascii="Verdana" w:hAnsi="Verdana"/>
                <w:sz w:val="16"/>
                <w:szCs w:val="16"/>
              </w:rPr>
            </w:pPr>
            <w:r w:rsidRPr="00360F70">
              <w:rPr>
                <w:rFonts w:ascii="Verdana" w:hAnsi="Verdana"/>
                <w:sz w:val="16"/>
              </w:rPr>
              <w:t>Direktiv 32/2002/EG om främmande ämnen och produkter i djurfoder</w:t>
            </w: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Övervakningsplan</w:t>
            </w:r>
          </w:p>
          <w:p w:rsidR="00D05EA6" w:rsidRPr="00360F70" w:rsidRDefault="00D05EA6" w:rsidP="004D7CE5">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360F70" w:rsidRDefault="00993467" w:rsidP="00C0787D">
            <w:pPr>
              <w:widowControl w:val="0"/>
              <w:rPr>
                <w:rFonts w:ascii="Verdana" w:hAnsi="Verdana" w:cs="Tahoma"/>
                <w:sz w:val="16"/>
                <w:szCs w:val="16"/>
              </w:rPr>
            </w:pPr>
          </w:p>
        </w:tc>
      </w:tr>
      <w:tr w:rsidR="00993467" w:rsidRPr="00360F70" w:rsidTr="00F81C3B">
        <w:trPr>
          <w:trHeight w:val="145"/>
        </w:trPr>
        <w:tc>
          <w:tcPr>
            <w:tcW w:w="18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 PAH</w:t>
            </w:r>
          </w:p>
          <w:p w:rsidR="00993467" w:rsidRPr="00360F70" w:rsidRDefault="00993467"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993467" w:rsidP="00C0787D">
            <w:pPr>
              <w:widowControl w:val="0"/>
              <w:rPr>
                <w:rFonts w:ascii="Verdana" w:hAnsi="Verdana" w:cs="Tahoma"/>
                <w:sz w:val="16"/>
                <w:szCs w:val="16"/>
              </w:rPr>
            </w:pPr>
          </w:p>
        </w:tc>
      </w:tr>
      <w:tr w:rsidR="00993467" w:rsidRPr="00360F70" w:rsidTr="00993467">
        <w:trPr>
          <w:trHeight w:val="145"/>
        </w:trPr>
        <w:tc>
          <w:tcPr>
            <w:tcW w:w="18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Rester av bekämpnings</w:t>
            </w:r>
            <w:r w:rsidRPr="00360F70">
              <w:softHyphen/>
            </w:r>
            <w:r w:rsidRPr="00360F70">
              <w:rPr>
                <w:rFonts w:ascii="Verdana" w:hAnsi="Verdana"/>
                <w:b/>
                <w:sz w:val="16"/>
              </w:rPr>
              <w:t>medel över gränsvärdet, dvs. MRL-överstigande rester av medel mot ogräs, insekter, svamp eller gnagare.</w:t>
            </w:r>
          </w:p>
          <w:p w:rsidR="006221FD" w:rsidRPr="00360F70" w:rsidRDefault="006221FD"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Måttlig</w:t>
            </w:r>
          </w:p>
        </w:tc>
        <w:tc>
          <w:tcPr>
            <w:tcW w:w="850" w:type="dxa"/>
            <w:tcBorders>
              <w:top w:val="single" w:sz="4" w:space="0" w:color="auto"/>
              <w:bottom w:val="single" w:sz="4" w:space="0" w:color="auto"/>
            </w:tcBorders>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Regelbunden övervakning av bekämpnings</w:t>
            </w:r>
            <w:r w:rsidRPr="00360F70">
              <w:softHyphen/>
            </w:r>
            <w:r w:rsidRPr="00360F70">
              <w:rPr>
                <w:rFonts w:ascii="Verdana" w:hAnsi="Verdana"/>
                <w:sz w:val="16"/>
              </w:rPr>
              <w:t>medels</w:t>
            </w:r>
            <w:r w:rsidRPr="00360F70">
              <w:softHyphen/>
            </w:r>
            <w:r w:rsidRPr="00360F70">
              <w:rPr>
                <w:rFonts w:ascii="Verdana" w:hAnsi="Verdana"/>
                <w:sz w:val="16"/>
              </w:rPr>
              <w:t xml:space="preserve">rester i råolja visar att resthalterna inte överstiger den lagliga gränsen. </w:t>
            </w:r>
          </w:p>
        </w:tc>
        <w:tc>
          <w:tcPr>
            <w:tcW w:w="19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sz w:val="16"/>
                <w:szCs w:val="16"/>
              </w:rPr>
            </w:pPr>
            <w:r w:rsidRPr="00360F70">
              <w:rPr>
                <w:rFonts w:ascii="Verdana" w:hAnsi="Verdana"/>
                <w:sz w:val="16"/>
              </w:rPr>
              <w:t>I förordning (EG) nr 396/2005 fastställs gränser för bekämpnings</w:t>
            </w:r>
            <w:r w:rsidRPr="00360F70">
              <w:softHyphen/>
            </w:r>
            <w:r w:rsidRPr="00360F70">
              <w:rPr>
                <w:rFonts w:ascii="Verdana" w:hAnsi="Verdana"/>
                <w:sz w:val="16"/>
              </w:rPr>
              <w:t>medels</w:t>
            </w:r>
            <w:r w:rsidRPr="00360F70">
              <w:softHyphen/>
            </w:r>
            <w:r w:rsidRPr="00360F70">
              <w:rPr>
                <w:rFonts w:ascii="Verdana" w:hAnsi="Verdana"/>
                <w:sz w:val="16"/>
              </w:rPr>
              <w:t xml:space="preserve">rester Enligt förordningen kan man använda en överföringsfaktor för tillåtna bekämpningsmedel för bearbetade produkter, om livsmedelssäkerheten kan garanteras. </w:t>
            </w: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587768" w:rsidP="00587768">
            <w:pPr>
              <w:widowControl w:val="0"/>
              <w:rPr>
                <w:rFonts w:ascii="Verdana" w:hAnsi="Verdana" w:cs="Tahoma"/>
                <w:sz w:val="16"/>
                <w:szCs w:val="16"/>
              </w:rPr>
            </w:pPr>
            <w:r w:rsidRPr="00360F70">
              <w:rPr>
                <w:rFonts w:ascii="Verdana" w:hAnsi="Verdana"/>
                <w:sz w:val="16"/>
              </w:rPr>
              <w:t>De flesta bekämpningsmedlen är inte vattenlösliga och kommer inte att överföras till glycerinvattenfasen.</w:t>
            </w:r>
          </w:p>
        </w:tc>
      </w:tr>
      <w:tr w:rsidR="00993467" w:rsidRPr="00360F70" w:rsidTr="00993467">
        <w:trPr>
          <w:trHeight w:val="145"/>
        </w:trPr>
        <w:tc>
          <w:tcPr>
            <w:tcW w:w="18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i/>
                <w:iCs/>
                <w:color w:val="0000FF"/>
                <w:sz w:val="16"/>
                <w:szCs w:val="16"/>
              </w:rPr>
            </w:pPr>
            <w:r w:rsidRPr="00360F70">
              <w:rPr>
                <w:rFonts w:ascii="Verdana" w:hAnsi="Verdana"/>
                <w:b/>
                <w:sz w:val="16"/>
              </w:rPr>
              <w:lastRenderedPageBreak/>
              <w:t>Bekämpningsmedelsrester förtecknade i direktiv 2002/32/EG för främmande ämnen i foder</w:t>
            </w: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C</w:t>
            </w:r>
          </w:p>
        </w:tc>
        <w:tc>
          <w:tcPr>
            <w:tcW w:w="979" w:type="dxa"/>
            <w:tcBorders>
              <w:top w:val="single" w:sz="4" w:space="0" w:color="auto"/>
              <w:bottom w:val="single" w:sz="4" w:space="0" w:color="auto"/>
            </w:tcBorders>
            <w:tcMar>
              <w:top w:w="85" w:type="dxa"/>
              <w:bottom w:w="85" w:type="dxa"/>
            </w:tcMar>
          </w:tcPr>
          <w:p w:rsidR="00993467" w:rsidRPr="00360F70" w:rsidRDefault="00FF185B" w:rsidP="004E54A8">
            <w:pPr>
              <w:jc w:val="center"/>
              <w:rPr>
                <w:rFonts w:ascii="Verdana" w:hAnsi="Verdana" w:cs="Tahoma"/>
                <w:sz w:val="16"/>
                <w:szCs w:val="16"/>
              </w:rPr>
            </w:pPr>
            <w:r w:rsidRPr="00360F70">
              <w:rPr>
                <w:rFonts w:ascii="Verdana" w:hAnsi="Verdana"/>
                <w:sz w:val="16"/>
              </w:rPr>
              <w:t>Mycket liten</w:t>
            </w:r>
          </w:p>
        </w:tc>
        <w:tc>
          <w:tcPr>
            <w:tcW w:w="1418" w:type="dxa"/>
            <w:tcBorders>
              <w:top w:val="single" w:sz="4" w:space="0" w:color="auto"/>
              <w:bottom w:val="single" w:sz="4" w:space="0" w:color="auto"/>
            </w:tcBorders>
            <w:tcMar>
              <w:top w:w="85" w:type="dxa"/>
              <w:bottom w:w="85" w:type="dxa"/>
            </w:tcMar>
          </w:tcPr>
          <w:p w:rsidR="00993467" w:rsidRPr="00360F70" w:rsidRDefault="00FF185B" w:rsidP="004E54A8">
            <w:pPr>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916B7E">
            <w:pPr>
              <w:rPr>
                <w:rFonts w:ascii="Verdana" w:hAnsi="Verdana" w:cs="Tahoma"/>
                <w:sz w:val="16"/>
                <w:szCs w:val="16"/>
              </w:rPr>
            </w:pPr>
            <w:r w:rsidRPr="00360F70">
              <w:rPr>
                <w:rFonts w:ascii="Verdana" w:hAnsi="Verdana"/>
                <w:sz w:val="16"/>
              </w:rPr>
              <w:t>Några av de förbjudna bekämpningsmedlen kan finnas i miljön. Risken att finna dem i rå sojaolja är dock mycket liten. Endosulfan får användas på sojabönor. Övervakningsdata visar att rester av endosulfan i råolja inte överstiger den lagliga gränsen.</w:t>
            </w:r>
          </w:p>
        </w:tc>
        <w:tc>
          <w:tcPr>
            <w:tcW w:w="1985" w:type="dxa"/>
            <w:tcBorders>
              <w:top w:val="single" w:sz="4" w:space="0" w:color="auto"/>
              <w:bottom w:val="single" w:sz="4" w:space="0" w:color="auto"/>
            </w:tcBorders>
            <w:tcMar>
              <w:top w:w="85" w:type="dxa"/>
              <w:bottom w:w="85" w:type="dxa"/>
            </w:tcMar>
          </w:tcPr>
          <w:p w:rsidR="00993467" w:rsidRPr="00360F70" w:rsidRDefault="00993467" w:rsidP="004E54A8">
            <w:pPr>
              <w:rPr>
                <w:rFonts w:ascii="Verdana" w:hAnsi="Verdana" w:cs="Tahoma"/>
                <w:sz w:val="16"/>
                <w:szCs w:val="16"/>
              </w:rPr>
            </w:pPr>
            <w:r w:rsidRPr="00360F70">
              <w:rPr>
                <w:rFonts w:ascii="Verdana" w:hAnsi="Verdana"/>
                <w:sz w:val="16"/>
              </w:rPr>
              <w:t>I direktiv 2002/32/EG fastställs gränser för ett antal bekämpningsmedelsrester i foder.</w:t>
            </w: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i/>
                <w:iCs/>
                <w:color w:val="0000FF"/>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587768" w:rsidP="004E54A8">
            <w:pPr>
              <w:widowControl w:val="0"/>
              <w:rPr>
                <w:rFonts w:ascii="Verdana" w:hAnsi="Verdana" w:cs="Tahoma"/>
                <w:sz w:val="16"/>
                <w:szCs w:val="16"/>
              </w:rPr>
            </w:pPr>
            <w:r w:rsidRPr="00360F70">
              <w:rPr>
                <w:rFonts w:ascii="Verdana" w:hAnsi="Verdana"/>
                <w:sz w:val="16"/>
              </w:rPr>
              <w:t>De flesta bekämpningsmedlen är inte vattenlösliga och kommer inte att överföras till glycerinvattenfasen</w:t>
            </w:r>
          </w:p>
        </w:tc>
      </w:tr>
      <w:tr w:rsidR="00993467" w:rsidRPr="00360F70" w:rsidTr="00993467">
        <w:trPr>
          <w:trHeight w:val="1301"/>
        </w:trPr>
        <w:tc>
          <w:tcPr>
            <w:tcW w:w="1885"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Mikrobiologisk kontaminering</w:t>
            </w:r>
          </w:p>
        </w:tc>
        <w:tc>
          <w:tcPr>
            <w:tcW w:w="646"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p>
        </w:tc>
        <w:tc>
          <w:tcPr>
            <w:tcW w:w="979"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Måttlig</w:t>
            </w:r>
          </w:p>
        </w:tc>
        <w:tc>
          <w:tcPr>
            <w:tcW w:w="850" w:type="dxa"/>
            <w:tcBorders>
              <w:top w:val="single" w:sz="4" w:space="0" w:color="auto"/>
              <w:bottom w:val="single" w:sz="4" w:space="0" w:color="auto"/>
            </w:tcBorders>
            <w:tcMar>
              <w:top w:w="85" w:type="dxa"/>
              <w:bottom w:w="85" w:type="dxa"/>
            </w:tcMar>
          </w:tcPr>
          <w:p w:rsidR="00993467" w:rsidRPr="00360F70" w:rsidRDefault="00993467" w:rsidP="004E54A8">
            <w:pPr>
              <w:jc w:val="center"/>
              <w:rPr>
                <w:rFonts w:ascii="Verdana" w:hAnsi="Verdana" w:cs="Tahoma"/>
                <w:sz w:val="16"/>
                <w:szCs w:val="16"/>
              </w:rPr>
            </w:pPr>
            <w:r w:rsidRPr="00360F70">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60F70" w:rsidRDefault="00993467" w:rsidP="004E54A8">
            <w:pPr>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360F70" w:rsidRDefault="00993467" w:rsidP="004E54A8">
            <w:pPr>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i/>
                <w:iCs/>
                <w:color w:val="0000FF"/>
                <w:sz w:val="16"/>
                <w:szCs w:val="16"/>
              </w:rPr>
            </w:pPr>
            <w:r w:rsidRPr="00360F70">
              <w:rPr>
                <w:rFonts w:ascii="Verdana" w:hAnsi="Verdana"/>
                <w:sz w:val="16"/>
              </w:rPr>
              <w:t>Övervakningsplan</w:t>
            </w:r>
          </w:p>
        </w:tc>
        <w:tc>
          <w:tcPr>
            <w:tcW w:w="2127" w:type="dxa"/>
            <w:tcBorders>
              <w:top w:val="single" w:sz="4" w:space="0" w:color="auto"/>
              <w:bottom w:val="single" w:sz="4" w:space="0" w:color="auto"/>
            </w:tcBorders>
            <w:tcMar>
              <w:top w:w="85" w:type="dxa"/>
              <w:bottom w:w="85" w:type="dxa"/>
            </w:tcMar>
          </w:tcPr>
          <w:p w:rsidR="00993467" w:rsidRPr="00360F70" w:rsidRDefault="00993467" w:rsidP="004E54A8">
            <w:pPr>
              <w:widowControl w:val="0"/>
              <w:rPr>
                <w:rFonts w:ascii="Verdana" w:hAnsi="Verdana" w:cs="Tahoma"/>
                <w:sz w:val="16"/>
                <w:szCs w:val="16"/>
              </w:rPr>
            </w:pPr>
          </w:p>
        </w:tc>
      </w:tr>
    </w:tbl>
    <w:p w:rsidR="00850EB4" w:rsidRPr="00360F70" w:rsidRDefault="00850EB4" w:rsidP="007B5B25">
      <w:pPr>
        <w:rPr>
          <w:rFonts w:ascii="Verdana" w:hAnsi="Verdana" w:cs="Tahoma"/>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831"/>
        <w:gridCol w:w="1329"/>
        <w:gridCol w:w="939"/>
        <w:gridCol w:w="2835"/>
        <w:gridCol w:w="1559"/>
        <w:gridCol w:w="2551"/>
        <w:gridCol w:w="2127"/>
      </w:tblGrid>
      <w:tr w:rsidR="00C724B8" w:rsidRPr="00360F70" w:rsidTr="00B86C6B">
        <w:trPr>
          <w:trHeight w:val="429"/>
        </w:trPr>
        <w:tc>
          <w:tcPr>
            <w:tcW w:w="4698" w:type="dxa"/>
            <w:gridSpan w:val="4"/>
            <w:tcBorders>
              <w:bottom w:val="single" w:sz="4" w:space="0" w:color="auto"/>
            </w:tcBorders>
            <w:shd w:val="clear" w:color="auto" w:fill="0DA72A"/>
            <w:tcMar>
              <w:top w:w="57" w:type="dxa"/>
              <w:bottom w:w="57" w:type="dxa"/>
            </w:tcMar>
            <w:vAlign w:val="center"/>
          </w:tcPr>
          <w:p w:rsidR="00C724B8" w:rsidRPr="00360F70" w:rsidRDefault="00E80F73" w:rsidP="00C724B8">
            <w:pPr>
              <w:widowControl w:val="0"/>
              <w:spacing w:before="20" w:after="20"/>
              <w:ind w:left="85" w:right="85"/>
              <w:rPr>
                <w:rFonts w:ascii="Verdana" w:hAnsi="Verdana"/>
                <w:b/>
                <w:color w:val="FFFFFF"/>
                <w:sz w:val="32"/>
                <w:szCs w:val="32"/>
              </w:rPr>
            </w:pPr>
            <w:r w:rsidRPr="00360F70">
              <w:rPr>
                <w:rFonts w:ascii="Verdana" w:hAnsi="Verdana"/>
                <w:b/>
                <w:color w:val="FFFFFF"/>
                <w:sz w:val="32"/>
              </w:rPr>
              <w:t>8. Riskbaserad strategi för glycerin</w:t>
            </w:r>
          </w:p>
          <w:p w:rsidR="00C724B8" w:rsidRPr="00360F70" w:rsidRDefault="00C724B8" w:rsidP="004E54A8">
            <w:pPr>
              <w:widowControl w:val="0"/>
              <w:spacing w:before="20" w:after="20"/>
              <w:jc w:val="right"/>
              <w:rPr>
                <w:rFonts w:ascii="Verdana" w:hAnsi="Verdana" w:cs="Tahoma"/>
                <w:b/>
                <w:bCs/>
                <w:color w:val="FFFFFF"/>
                <w:sz w:val="28"/>
                <w:szCs w:val="28"/>
              </w:rPr>
            </w:pPr>
          </w:p>
        </w:tc>
        <w:tc>
          <w:tcPr>
            <w:tcW w:w="10011" w:type="dxa"/>
            <w:gridSpan w:val="5"/>
            <w:tcBorders>
              <w:left w:val="nil"/>
              <w:bottom w:val="single" w:sz="4" w:space="0" w:color="auto"/>
            </w:tcBorders>
            <w:shd w:val="clear" w:color="auto" w:fill="0DA72A"/>
            <w:tcMar>
              <w:top w:w="57" w:type="dxa"/>
              <w:bottom w:w="57" w:type="dxa"/>
            </w:tcMar>
            <w:vAlign w:val="center"/>
          </w:tcPr>
          <w:p w:rsidR="00C724B8" w:rsidRPr="00360F70" w:rsidRDefault="00C724B8" w:rsidP="0068412B">
            <w:pPr>
              <w:widowControl w:val="0"/>
              <w:rPr>
                <w:rFonts w:ascii="Verdana" w:hAnsi="Verdana" w:cs="Tahoma"/>
                <w:b/>
                <w:color w:val="FFFFFF"/>
                <w:sz w:val="28"/>
                <w:szCs w:val="28"/>
              </w:rPr>
            </w:pPr>
            <w:r w:rsidRPr="00360F70">
              <w:rPr>
                <w:rFonts w:ascii="Verdana" w:hAnsi="Verdana"/>
                <w:b/>
                <w:color w:val="FFFFFF"/>
                <w:sz w:val="28"/>
              </w:rPr>
              <w:t xml:space="preserve">3. </w:t>
            </w:r>
            <w:r w:rsidR="0068412B">
              <w:rPr>
                <w:rFonts w:ascii="Verdana" w:hAnsi="Verdana"/>
                <w:b/>
                <w:color w:val="FFFFFF"/>
                <w:sz w:val="28"/>
              </w:rPr>
              <w:t>Lag</w:t>
            </w:r>
            <w:r w:rsidRPr="00360F70">
              <w:rPr>
                <w:rFonts w:ascii="Verdana" w:hAnsi="Verdana"/>
                <w:b/>
                <w:color w:val="FFFFFF"/>
                <w:sz w:val="28"/>
              </w:rPr>
              <w:t>ring av inkommande material</w:t>
            </w:r>
          </w:p>
        </w:tc>
      </w:tr>
      <w:tr w:rsidR="00993467" w:rsidRPr="00360F70" w:rsidTr="003E010C">
        <w:trPr>
          <w:trHeight w:val="536"/>
        </w:trPr>
        <w:tc>
          <w:tcPr>
            <w:tcW w:w="1890"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48"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831"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329"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939"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835"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1559" w:type="dxa"/>
            <w:tcBorders>
              <w:bottom w:val="single" w:sz="4" w:space="0" w:color="auto"/>
            </w:tcBorders>
            <w:shd w:val="clear" w:color="auto" w:fill="0DA72A"/>
            <w:tcMar>
              <w:top w:w="28" w:type="dxa"/>
              <w:bottom w:w="28" w:type="dxa"/>
            </w:tcMar>
            <w:vAlign w:val="center"/>
          </w:tcPr>
          <w:p w:rsidR="00993467" w:rsidRPr="00360F70" w:rsidRDefault="00993467" w:rsidP="00A8208F">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w:t>
            </w:r>
          </w:p>
        </w:tc>
        <w:tc>
          <w:tcPr>
            <w:tcW w:w="2551"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993467" w:rsidRPr="00360F70" w:rsidRDefault="00993467"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993467" w:rsidRPr="00360F70" w:rsidTr="003E010C">
        <w:trPr>
          <w:trHeight w:val="1701"/>
        </w:trPr>
        <w:tc>
          <w:tcPr>
            <w:tcW w:w="1890" w:type="dxa"/>
            <w:tcMar>
              <w:top w:w="85" w:type="dxa"/>
              <w:bottom w:w="85" w:type="dxa"/>
            </w:tcMar>
          </w:tcPr>
          <w:p w:rsidR="00993467" w:rsidRPr="00360F70" w:rsidRDefault="00993467" w:rsidP="004E54A8">
            <w:pPr>
              <w:widowControl w:val="0"/>
              <w:rPr>
                <w:rFonts w:ascii="Verdana" w:hAnsi="Verdana" w:cs="Tahoma"/>
                <w:b/>
                <w:bCs/>
                <w:sz w:val="16"/>
                <w:szCs w:val="16"/>
              </w:rPr>
            </w:pPr>
            <w:r w:rsidRPr="00360F70">
              <w:rPr>
                <w:rFonts w:ascii="Verdana" w:hAnsi="Verdana"/>
                <w:b/>
                <w:sz w:val="16"/>
              </w:rPr>
              <w:t>Kontaminering av rengöringsmedel</w:t>
            </w:r>
          </w:p>
        </w:tc>
        <w:tc>
          <w:tcPr>
            <w:tcW w:w="648" w:type="dxa"/>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831" w:type="dxa"/>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329" w:type="dxa"/>
            <w:tcMar>
              <w:top w:w="85" w:type="dxa"/>
              <w:bottom w:w="85" w:type="dxa"/>
            </w:tcMar>
          </w:tcPr>
          <w:p w:rsidR="00993467" w:rsidRPr="00360F70" w:rsidRDefault="00993467" w:rsidP="00FF185B">
            <w:pPr>
              <w:widowControl w:val="0"/>
              <w:jc w:val="center"/>
              <w:rPr>
                <w:rFonts w:ascii="Verdana" w:hAnsi="Verdana" w:cs="Tahoma"/>
                <w:sz w:val="16"/>
                <w:szCs w:val="16"/>
              </w:rPr>
            </w:pPr>
            <w:r w:rsidRPr="00360F70">
              <w:rPr>
                <w:rFonts w:ascii="Verdana" w:hAnsi="Verdana"/>
                <w:sz w:val="16"/>
              </w:rPr>
              <w:t xml:space="preserve"> Måttlig</w:t>
            </w:r>
          </w:p>
        </w:tc>
        <w:tc>
          <w:tcPr>
            <w:tcW w:w="939" w:type="dxa"/>
            <w:tcMar>
              <w:top w:w="85" w:type="dxa"/>
              <w:bottom w:w="85" w:type="dxa"/>
            </w:tcMar>
          </w:tcPr>
          <w:p w:rsidR="00993467" w:rsidRPr="00360F70" w:rsidRDefault="00993467" w:rsidP="00CE6A2B">
            <w:pPr>
              <w:widowControl w:val="0"/>
              <w:jc w:val="center"/>
              <w:rPr>
                <w:rFonts w:ascii="Verdana" w:hAnsi="Verdana" w:cs="Tahoma"/>
                <w:sz w:val="16"/>
                <w:szCs w:val="16"/>
              </w:rPr>
            </w:pPr>
            <w:r w:rsidRPr="00360F70">
              <w:rPr>
                <w:rFonts w:ascii="Verdana" w:hAnsi="Verdana"/>
                <w:sz w:val="16"/>
              </w:rPr>
              <w:t xml:space="preserve"> 3</w:t>
            </w:r>
          </w:p>
        </w:tc>
        <w:tc>
          <w:tcPr>
            <w:tcW w:w="2835" w:type="dxa"/>
            <w:tcMar>
              <w:top w:w="85" w:type="dxa"/>
              <w:bottom w:w="85" w:type="dxa"/>
            </w:tcMar>
          </w:tcPr>
          <w:p w:rsidR="00993467" w:rsidRPr="00360F70" w:rsidRDefault="00993467" w:rsidP="0068412B">
            <w:pPr>
              <w:widowControl w:val="0"/>
              <w:rPr>
                <w:rFonts w:ascii="Verdana" w:hAnsi="Verdana" w:cs="Tahoma"/>
                <w:sz w:val="16"/>
                <w:szCs w:val="16"/>
              </w:rPr>
            </w:pPr>
            <w:r w:rsidRPr="00360F70">
              <w:rPr>
                <w:rFonts w:ascii="Verdana" w:hAnsi="Verdana"/>
                <w:sz w:val="16"/>
              </w:rPr>
              <w:t xml:space="preserve">Den här riskklassificeringen gäller terminaler där både kemikalier och vegetabiliska oljor </w:t>
            </w:r>
            <w:r w:rsidR="0068412B">
              <w:rPr>
                <w:rFonts w:ascii="Verdana" w:hAnsi="Verdana"/>
                <w:sz w:val="16"/>
              </w:rPr>
              <w:t>lag</w:t>
            </w:r>
            <w:r w:rsidRPr="00360F70">
              <w:rPr>
                <w:rFonts w:ascii="Verdana" w:hAnsi="Verdana"/>
                <w:sz w:val="16"/>
              </w:rPr>
              <w:t xml:space="preserve">ras. Aktörerna använder då kanske inte rengöringsmedel som är lämpliga för livsmedelsindustrin. För tankterminaler i EU som tillämpar HACCP och som </w:t>
            </w:r>
            <w:r w:rsidR="0068412B">
              <w:rPr>
                <w:rFonts w:ascii="Verdana" w:hAnsi="Verdana"/>
                <w:sz w:val="16"/>
              </w:rPr>
              <w:t>lag</w:t>
            </w:r>
            <w:r w:rsidRPr="00360F70">
              <w:rPr>
                <w:rFonts w:ascii="Verdana" w:hAnsi="Verdana"/>
                <w:sz w:val="16"/>
              </w:rPr>
              <w:t>rar vegetabiliska oljor och kemikalier separat är risken att fel sorts rengöringsmedel används mycket liten.</w:t>
            </w:r>
          </w:p>
        </w:tc>
        <w:tc>
          <w:tcPr>
            <w:tcW w:w="1559" w:type="dxa"/>
            <w:tcMar>
              <w:top w:w="85" w:type="dxa"/>
              <w:bottom w:w="85" w:type="dxa"/>
            </w:tcMar>
          </w:tcPr>
          <w:p w:rsidR="00993467" w:rsidRPr="00360F70" w:rsidRDefault="00993467" w:rsidP="004E54A8">
            <w:pPr>
              <w:widowControl w:val="0"/>
              <w:rPr>
                <w:rFonts w:ascii="Verdana" w:hAnsi="Verdana" w:cs="Tahoma"/>
                <w:sz w:val="16"/>
                <w:szCs w:val="16"/>
              </w:rPr>
            </w:pPr>
          </w:p>
        </w:tc>
        <w:tc>
          <w:tcPr>
            <w:tcW w:w="2551" w:type="dxa"/>
            <w:tcMar>
              <w:top w:w="85" w:type="dxa"/>
              <w:bottom w:w="85" w:type="dxa"/>
            </w:tcMar>
          </w:tcPr>
          <w:p w:rsidR="00480496" w:rsidRPr="00360F70" w:rsidRDefault="00480496" w:rsidP="004E54A8">
            <w:pPr>
              <w:widowControl w:val="0"/>
              <w:rPr>
                <w:rFonts w:ascii="Verdana" w:hAnsi="Verdana" w:cs="Tahoma"/>
                <w:sz w:val="16"/>
                <w:szCs w:val="16"/>
              </w:rPr>
            </w:pPr>
            <w:r w:rsidRPr="00360F70">
              <w:rPr>
                <w:rFonts w:ascii="Verdana" w:hAnsi="Verdana"/>
                <w:sz w:val="16"/>
              </w:rPr>
              <w:t>De rengöringsmedel som används ska utvärderas och lämpliga åtgärder ska vidtas för att minska risken till godtagbara nivåer.</w:t>
            </w:r>
          </w:p>
        </w:tc>
        <w:tc>
          <w:tcPr>
            <w:tcW w:w="2127" w:type="dxa"/>
            <w:tcMar>
              <w:top w:w="85" w:type="dxa"/>
              <w:bottom w:w="85" w:type="dxa"/>
            </w:tcMar>
          </w:tcPr>
          <w:p w:rsidR="00993467" w:rsidRPr="00360F70" w:rsidRDefault="00993467" w:rsidP="004E54A8">
            <w:pPr>
              <w:widowControl w:val="0"/>
              <w:rPr>
                <w:rFonts w:ascii="Verdana" w:hAnsi="Verdana" w:cs="Tahoma"/>
                <w:sz w:val="16"/>
                <w:szCs w:val="16"/>
              </w:rPr>
            </w:pPr>
          </w:p>
        </w:tc>
      </w:tr>
      <w:tr w:rsidR="00993467" w:rsidRPr="00360F70" w:rsidTr="003E010C">
        <w:trPr>
          <w:trHeight w:val="935"/>
        </w:trPr>
        <w:tc>
          <w:tcPr>
            <w:tcW w:w="1890" w:type="dxa"/>
            <w:tcMar>
              <w:top w:w="85" w:type="dxa"/>
              <w:bottom w:w="85" w:type="dxa"/>
            </w:tcMar>
          </w:tcPr>
          <w:p w:rsidR="00993467" w:rsidRPr="00360F70" w:rsidRDefault="00993467" w:rsidP="004E54A8">
            <w:pPr>
              <w:widowControl w:val="0"/>
              <w:rPr>
                <w:rFonts w:ascii="Verdana" w:hAnsi="Verdana" w:cs="Tahoma"/>
                <w:b/>
                <w:bCs/>
                <w:sz w:val="16"/>
                <w:szCs w:val="16"/>
              </w:rPr>
            </w:pPr>
            <w:proofErr w:type="spellStart"/>
            <w:r w:rsidRPr="00360F70">
              <w:rPr>
                <w:rFonts w:ascii="Verdana" w:hAnsi="Verdana"/>
                <w:b/>
                <w:sz w:val="16"/>
              </w:rPr>
              <w:lastRenderedPageBreak/>
              <w:t>Värme</w:t>
            </w:r>
            <w:r w:rsidRPr="00360F70">
              <w:softHyphen/>
            </w:r>
            <w:r w:rsidRPr="00360F70">
              <w:rPr>
                <w:rFonts w:ascii="Verdana" w:hAnsi="Verdana"/>
                <w:b/>
                <w:sz w:val="16"/>
              </w:rPr>
              <w:t>överförings</w:t>
            </w:r>
            <w:r w:rsidRPr="00360F70">
              <w:softHyphen/>
            </w:r>
            <w:r w:rsidRPr="00360F70">
              <w:rPr>
                <w:rFonts w:ascii="Verdana" w:hAnsi="Verdana"/>
                <w:b/>
                <w:sz w:val="16"/>
              </w:rPr>
              <w:t>vätskor</w:t>
            </w:r>
            <w:proofErr w:type="spellEnd"/>
            <w:r w:rsidRPr="00360F70">
              <w:rPr>
                <w:rFonts w:ascii="Verdana" w:hAnsi="Verdana"/>
                <w:b/>
                <w:sz w:val="16"/>
              </w:rPr>
              <w:t xml:space="preserve"> från bristfällig utrustning</w:t>
            </w:r>
          </w:p>
        </w:tc>
        <w:tc>
          <w:tcPr>
            <w:tcW w:w="648" w:type="dxa"/>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831" w:type="dxa"/>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329" w:type="dxa"/>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939" w:type="dxa"/>
            <w:shd w:val="clear" w:color="auto" w:fill="FFC000"/>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3</w:t>
            </w:r>
          </w:p>
        </w:tc>
        <w:tc>
          <w:tcPr>
            <w:tcW w:w="2835" w:type="dxa"/>
            <w:tcMar>
              <w:top w:w="85" w:type="dxa"/>
              <w:bottom w:w="85" w:type="dxa"/>
            </w:tcMar>
          </w:tcPr>
          <w:p w:rsidR="00993467" w:rsidRPr="00360F70" w:rsidRDefault="00993467" w:rsidP="0068412B">
            <w:pPr>
              <w:widowControl w:val="0"/>
              <w:rPr>
                <w:rFonts w:ascii="Verdana" w:hAnsi="Verdana" w:cs="Tahoma"/>
                <w:sz w:val="16"/>
                <w:szCs w:val="16"/>
              </w:rPr>
            </w:pPr>
            <w:r w:rsidRPr="00360F70">
              <w:rPr>
                <w:rFonts w:ascii="Verdana" w:hAnsi="Verdana"/>
                <w:sz w:val="16"/>
              </w:rPr>
              <w:t xml:space="preserve">Giftiga värmeöverföringsvätskor kan fortfarande användas. Med tanke på den relativt låga uppvärmningstemperaturen under </w:t>
            </w:r>
            <w:r w:rsidR="0068412B">
              <w:rPr>
                <w:rFonts w:ascii="Verdana" w:hAnsi="Verdana"/>
                <w:sz w:val="16"/>
              </w:rPr>
              <w:t>lag</w:t>
            </w:r>
            <w:r w:rsidRPr="00360F70">
              <w:rPr>
                <w:rFonts w:ascii="Verdana" w:hAnsi="Verdana"/>
                <w:sz w:val="16"/>
              </w:rPr>
              <w:t xml:space="preserve">ring är risken för att </w:t>
            </w:r>
            <w:proofErr w:type="spellStart"/>
            <w:r w:rsidRPr="00360F70">
              <w:rPr>
                <w:rFonts w:ascii="Verdana" w:hAnsi="Verdana"/>
                <w:sz w:val="16"/>
              </w:rPr>
              <w:t>värme</w:t>
            </w:r>
            <w:r w:rsidRPr="00360F70">
              <w:softHyphen/>
            </w:r>
            <w:r w:rsidRPr="00360F70">
              <w:rPr>
                <w:rFonts w:ascii="Verdana" w:hAnsi="Verdana"/>
                <w:sz w:val="16"/>
              </w:rPr>
              <w:t>överförings</w:t>
            </w:r>
            <w:r w:rsidRPr="00360F70">
              <w:softHyphen/>
            </w:r>
            <w:r w:rsidRPr="00360F70">
              <w:rPr>
                <w:rFonts w:ascii="Verdana" w:hAnsi="Verdana"/>
                <w:sz w:val="16"/>
              </w:rPr>
              <w:t>vätskor</w:t>
            </w:r>
            <w:proofErr w:type="spellEnd"/>
            <w:r w:rsidRPr="00360F70">
              <w:rPr>
                <w:rFonts w:ascii="Verdana" w:hAnsi="Verdana"/>
                <w:sz w:val="16"/>
              </w:rPr>
              <w:t xml:space="preserve"> ska läcka ut i produkter liten.</w:t>
            </w:r>
          </w:p>
        </w:tc>
        <w:tc>
          <w:tcPr>
            <w:tcW w:w="1559" w:type="dxa"/>
            <w:tcMar>
              <w:top w:w="85" w:type="dxa"/>
              <w:bottom w:w="85" w:type="dxa"/>
            </w:tcMar>
          </w:tcPr>
          <w:p w:rsidR="00993467" w:rsidRPr="00360F70" w:rsidRDefault="00993467" w:rsidP="004E54A8">
            <w:pPr>
              <w:widowControl w:val="0"/>
              <w:rPr>
                <w:rFonts w:ascii="Verdana" w:hAnsi="Verdana" w:cs="Tahoma"/>
                <w:sz w:val="16"/>
                <w:szCs w:val="16"/>
              </w:rPr>
            </w:pPr>
          </w:p>
        </w:tc>
        <w:tc>
          <w:tcPr>
            <w:tcW w:w="2551" w:type="dxa"/>
            <w:tcMar>
              <w:top w:w="85" w:type="dxa"/>
              <w:bottom w:w="85" w:type="dxa"/>
            </w:tcMar>
          </w:tcPr>
          <w:p w:rsidR="00993467" w:rsidRPr="00360F70" w:rsidRDefault="00993467" w:rsidP="004E54A8">
            <w:pPr>
              <w:widowControl w:val="0"/>
              <w:rPr>
                <w:rFonts w:ascii="Verdana" w:hAnsi="Verdana" w:cs="Tahoma"/>
                <w:sz w:val="16"/>
                <w:szCs w:val="16"/>
              </w:rPr>
            </w:pPr>
            <w:r w:rsidRPr="00360F70">
              <w:rPr>
                <w:rFonts w:ascii="Verdana" w:hAnsi="Verdana"/>
                <w:sz w:val="16"/>
              </w:rPr>
              <w:t xml:space="preserve">Dokumentering av nettoförluster och analys av dessa vid behov. </w:t>
            </w:r>
          </w:p>
        </w:tc>
        <w:tc>
          <w:tcPr>
            <w:tcW w:w="2127" w:type="dxa"/>
            <w:tcMar>
              <w:top w:w="85" w:type="dxa"/>
              <w:bottom w:w="85" w:type="dxa"/>
            </w:tcMar>
          </w:tcPr>
          <w:p w:rsidR="00993467" w:rsidRPr="00360F70" w:rsidRDefault="00993467" w:rsidP="001E05FE">
            <w:pPr>
              <w:widowControl w:val="0"/>
              <w:rPr>
                <w:rFonts w:ascii="Verdana" w:hAnsi="Verdana" w:cs="Tahoma"/>
                <w:sz w:val="16"/>
                <w:szCs w:val="16"/>
              </w:rPr>
            </w:pPr>
            <w:r w:rsidRPr="00360F70">
              <w:rPr>
                <w:rFonts w:ascii="Verdana" w:hAnsi="Verdana"/>
                <w:sz w:val="16"/>
              </w:rPr>
              <w:t xml:space="preserve">Användande av vatten och ånga för uppvärmning rekommenderas. </w:t>
            </w:r>
            <w:proofErr w:type="spellStart"/>
            <w:r w:rsidRPr="00360F70">
              <w:rPr>
                <w:rFonts w:ascii="Verdana" w:hAnsi="Verdana"/>
                <w:sz w:val="16"/>
              </w:rPr>
              <w:t>Värme</w:t>
            </w:r>
            <w:r w:rsidRPr="00360F70">
              <w:softHyphen/>
            </w:r>
            <w:r w:rsidRPr="00360F70">
              <w:rPr>
                <w:rFonts w:ascii="Verdana" w:hAnsi="Verdana"/>
                <w:sz w:val="16"/>
              </w:rPr>
              <w:t>överförings</w:t>
            </w:r>
            <w:r w:rsidRPr="00360F70">
              <w:softHyphen/>
            </w:r>
            <w:r w:rsidRPr="00360F70">
              <w:rPr>
                <w:rFonts w:ascii="Verdana" w:hAnsi="Verdana"/>
                <w:sz w:val="16"/>
              </w:rPr>
              <w:t>vätskor</w:t>
            </w:r>
            <w:proofErr w:type="spellEnd"/>
            <w:r w:rsidRPr="00360F70">
              <w:rPr>
                <w:rFonts w:ascii="Verdana" w:hAnsi="Verdana"/>
                <w:sz w:val="16"/>
              </w:rPr>
              <w:t xml:space="preserve"> används sällan.</w:t>
            </w:r>
          </w:p>
        </w:tc>
      </w:tr>
      <w:tr w:rsidR="00993467" w:rsidRPr="00360F70" w:rsidTr="003E010C">
        <w:trPr>
          <w:trHeight w:val="935"/>
        </w:trPr>
        <w:tc>
          <w:tcPr>
            <w:tcW w:w="1890" w:type="dxa"/>
            <w:tcMar>
              <w:top w:w="85" w:type="dxa"/>
              <w:bottom w:w="85" w:type="dxa"/>
            </w:tcMar>
          </w:tcPr>
          <w:p w:rsidR="00993467" w:rsidRPr="00360F70" w:rsidRDefault="00993467" w:rsidP="004E54A8">
            <w:pPr>
              <w:widowControl w:val="0"/>
              <w:rPr>
                <w:rFonts w:ascii="Verdana" w:hAnsi="Verdana" w:cs="Tahoma"/>
                <w:b/>
                <w:bCs/>
                <w:sz w:val="16"/>
                <w:szCs w:val="16"/>
              </w:rPr>
            </w:pPr>
            <w:proofErr w:type="spellStart"/>
            <w:r w:rsidRPr="00360F70">
              <w:rPr>
                <w:rFonts w:ascii="Verdana" w:hAnsi="Verdana"/>
                <w:b/>
                <w:sz w:val="16"/>
              </w:rPr>
              <w:t>Kors</w:t>
            </w:r>
            <w:r w:rsidRPr="00360F70">
              <w:softHyphen/>
            </w:r>
            <w:r w:rsidRPr="00360F70">
              <w:rPr>
                <w:rFonts w:ascii="Verdana" w:hAnsi="Verdana"/>
                <w:b/>
                <w:sz w:val="16"/>
              </w:rPr>
              <w:t>kontaminering</w:t>
            </w:r>
            <w:proofErr w:type="spellEnd"/>
          </w:p>
        </w:tc>
        <w:tc>
          <w:tcPr>
            <w:tcW w:w="648" w:type="dxa"/>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C</w:t>
            </w:r>
          </w:p>
        </w:tc>
        <w:tc>
          <w:tcPr>
            <w:tcW w:w="831" w:type="dxa"/>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329" w:type="dxa"/>
            <w:tcMar>
              <w:top w:w="85" w:type="dxa"/>
              <w:bottom w:w="85" w:type="dxa"/>
            </w:tcMar>
          </w:tcPr>
          <w:p w:rsidR="00993467" w:rsidRPr="00360F70" w:rsidRDefault="00FF185B" w:rsidP="004E54A8">
            <w:pPr>
              <w:widowControl w:val="0"/>
              <w:jc w:val="center"/>
              <w:rPr>
                <w:rFonts w:ascii="Verdana" w:hAnsi="Verdana" w:cs="Tahoma"/>
                <w:sz w:val="16"/>
                <w:szCs w:val="16"/>
              </w:rPr>
            </w:pPr>
            <w:r w:rsidRPr="00360F70">
              <w:rPr>
                <w:rFonts w:ascii="Verdana" w:hAnsi="Verdana"/>
                <w:sz w:val="16"/>
              </w:rPr>
              <w:t>Måttlig</w:t>
            </w:r>
          </w:p>
        </w:tc>
        <w:tc>
          <w:tcPr>
            <w:tcW w:w="939" w:type="dxa"/>
            <w:tcMar>
              <w:top w:w="85" w:type="dxa"/>
              <w:bottom w:w="85" w:type="dxa"/>
            </w:tcMar>
          </w:tcPr>
          <w:p w:rsidR="00993467" w:rsidRPr="00360F70" w:rsidRDefault="00993467" w:rsidP="004E54A8">
            <w:pPr>
              <w:widowControl w:val="0"/>
              <w:jc w:val="center"/>
              <w:rPr>
                <w:rFonts w:ascii="Verdana" w:hAnsi="Verdana" w:cs="Tahoma"/>
                <w:sz w:val="16"/>
                <w:szCs w:val="16"/>
              </w:rPr>
            </w:pPr>
            <w:r w:rsidRPr="00360F70">
              <w:rPr>
                <w:rFonts w:ascii="Verdana" w:hAnsi="Verdana"/>
                <w:sz w:val="16"/>
              </w:rPr>
              <w:t>2</w:t>
            </w:r>
          </w:p>
        </w:tc>
        <w:tc>
          <w:tcPr>
            <w:tcW w:w="2835" w:type="dxa"/>
            <w:tcMar>
              <w:top w:w="85" w:type="dxa"/>
              <w:bottom w:w="85" w:type="dxa"/>
            </w:tcMar>
          </w:tcPr>
          <w:p w:rsidR="00993467" w:rsidRPr="00360F70" w:rsidRDefault="00993467" w:rsidP="00257CF8">
            <w:pPr>
              <w:widowControl w:val="0"/>
              <w:rPr>
                <w:rFonts w:ascii="Verdana" w:hAnsi="Verdana" w:cs="Tahoma"/>
                <w:sz w:val="16"/>
                <w:szCs w:val="16"/>
              </w:rPr>
            </w:pPr>
            <w:r w:rsidRPr="00360F70">
              <w:rPr>
                <w:rFonts w:ascii="Verdana" w:hAnsi="Verdana"/>
                <w:sz w:val="16"/>
              </w:rPr>
              <w:t xml:space="preserve">Riskkällorna är bl.a. funktionsstörning hos utrustning och företagsolyckor. Det händer extremt sällan. </w:t>
            </w:r>
          </w:p>
          <w:p w:rsidR="00993467" w:rsidRPr="00360F70" w:rsidRDefault="00993467" w:rsidP="00073E32">
            <w:pPr>
              <w:autoSpaceDE w:val="0"/>
              <w:autoSpaceDN w:val="0"/>
              <w:adjustRightInd w:val="0"/>
              <w:rPr>
                <w:rFonts w:ascii="Verdana" w:hAnsi="Verdana" w:cs="Tahoma"/>
                <w:sz w:val="16"/>
                <w:szCs w:val="16"/>
              </w:rPr>
            </w:pPr>
            <w:r w:rsidRPr="00360F70">
              <w:rPr>
                <w:rFonts w:ascii="Verdana" w:hAnsi="Verdana"/>
                <w:sz w:val="16"/>
              </w:rPr>
              <w:t>Förebyggande åtgärder som kan vidtas är</w:t>
            </w:r>
          </w:p>
          <w:p w:rsidR="00993467" w:rsidRPr="00360F70" w:rsidRDefault="00993467" w:rsidP="000050B7">
            <w:pPr>
              <w:widowControl w:val="0"/>
              <w:rPr>
                <w:rFonts w:ascii="Verdana" w:hAnsi="Verdana" w:cs="Tahoma"/>
                <w:sz w:val="16"/>
                <w:szCs w:val="16"/>
              </w:rPr>
            </w:pPr>
            <w:r w:rsidRPr="00360F70">
              <w:rPr>
                <w:rFonts w:ascii="Verdana" w:hAnsi="Verdana"/>
                <w:sz w:val="16"/>
              </w:rPr>
              <w:t>automatiska säkerhetsmekanismer, anordningar för uppsamling av spill, anläggningssäkerhet, begränsad tillgång till anläggningen.</w:t>
            </w:r>
          </w:p>
        </w:tc>
        <w:tc>
          <w:tcPr>
            <w:tcW w:w="1559" w:type="dxa"/>
            <w:tcMar>
              <w:top w:w="85" w:type="dxa"/>
              <w:bottom w:w="85" w:type="dxa"/>
            </w:tcMar>
          </w:tcPr>
          <w:p w:rsidR="00993467" w:rsidRPr="00360F70" w:rsidRDefault="00993467" w:rsidP="004E54A8">
            <w:pPr>
              <w:widowControl w:val="0"/>
              <w:rPr>
                <w:rFonts w:ascii="Verdana" w:hAnsi="Verdana" w:cs="Tahoma"/>
                <w:sz w:val="16"/>
                <w:szCs w:val="16"/>
              </w:rPr>
            </w:pPr>
          </w:p>
        </w:tc>
        <w:tc>
          <w:tcPr>
            <w:tcW w:w="2551" w:type="dxa"/>
            <w:tcMar>
              <w:top w:w="85" w:type="dxa"/>
              <w:bottom w:w="85" w:type="dxa"/>
            </w:tcMar>
          </w:tcPr>
          <w:p w:rsidR="00993467" w:rsidRPr="00360F70" w:rsidRDefault="0068412B" w:rsidP="004E54A8">
            <w:pPr>
              <w:widowControl w:val="0"/>
              <w:rPr>
                <w:rFonts w:ascii="Verdana" w:hAnsi="Verdana" w:cs="Tahoma"/>
                <w:sz w:val="16"/>
                <w:szCs w:val="16"/>
              </w:rPr>
            </w:pPr>
            <w:r>
              <w:rPr>
                <w:rFonts w:ascii="Verdana" w:hAnsi="Verdana"/>
                <w:sz w:val="16"/>
              </w:rPr>
              <w:t>Lag</w:t>
            </w:r>
            <w:r w:rsidR="00993467" w:rsidRPr="00360F70">
              <w:rPr>
                <w:rFonts w:ascii="Verdana" w:hAnsi="Verdana"/>
                <w:sz w:val="16"/>
              </w:rPr>
              <w:t>ringsrutiner ska finnas.</w:t>
            </w:r>
          </w:p>
        </w:tc>
        <w:tc>
          <w:tcPr>
            <w:tcW w:w="2127" w:type="dxa"/>
            <w:tcMar>
              <w:top w:w="85" w:type="dxa"/>
              <w:bottom w:w="85" w:type="dxa"/>
            </w:tcMar>
          </w:tcPr>
          <w:p w:rsidR="00993467" w:rsidRPr="00360F70" w:rsidRDefault="00993467" w:rsidP="004E54A8">
            <w:pPr>
              <w:widowControl w:val="0"/>
              <w:rPr>
                <w:rFonts w:ascii="Verdana" w:hAnsi="Verdana" w:cs="Tahoma"/>
                <w:sz w:val="16"/>
                <w:szCs w:val="16"/>
              </w:rPr>
            </w:pPr>
          </w:p>
        </w:tc>
      </w:tr>
    </w:tbl>
    <w:p w:rsidR="004E54A8" w:rsidRPr="00360F70" w:rsidRDefault="004E54A8" w:rsidP="004E54A8">
      <w:pPr>
        <w:rPr>
          <w:rFonts w:ascii="Verdana" w:hAnsi="Verdana" w:cs="Tahoma"/>
          <w:sz w:val="14"/>
          <w:szCs w:val="14"/>
        </w:rPr>
      </w:pPr>
    </w:p>
    <w:p w:rsidR="008675C9" w:rsidRPr="00360F70" w:rsidRDefault="008675C9" w:rsidP="008675C9">
      <w:pPr>
        <w:pStyle w:val="Heading1"/>
        <w:numPr>
          <w:ilvl w:val="0"/>
          <w:numId w:val="0"/>
        </w:numPr>
        <w:ind w:left="432"/>
        <w:rPr>
          <w:rFonts w:ascii="Verdana" w:hAnsi="Verdana" w:cs="Tahoma"/>
          <w:sz w:val="14"/>
          <w:szCs w:val="14"/>
        </w:rPr>
      </w:pPr>
    </w:p>
    <w:p w:rsidR="00E33DAE" w:rsidRPr="00360F70" w:rsidRDefault="00DB5BD0" w:rsidP="008675C9">
      <w:pPr>
        <w:pStyle w:val="Heading1"/>
        <w:numPr>
          <w:ilvl w:val="0"/>
          <w:numId w:val="0"/>
        </w:numPr>
        <w:ind w:left="432"/>
        <w:rPr>
          <w:rFonts w:ascii="Verdana" w:hAnsi="Verdana" w:cs="Tahoma"/>
          <w:sz w:val="14"/>
          <w:szCs w:val="14"/>
        </w:rPr>
      </w:pPr>
      <w:r w:rsidRPr="00360F70">
        <w:br w:type="page"/>
      </w: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636"/>
        <w:gridCol w:w="877"/>
        <w:gridCol w:w="1417"/>
        <w:gridCol w:w="851"/>
        <w:gridCol w:w="2524"/>
        <w:gridCol w:w="1870"/>
        <w:gridCol w:w="2551"/>
        <w:gridCol w:w="2127"/>
      </w:tblGrid>
      <w:tr w:rsidR="00C724B8" w:rsidRPr="00360F70" w:rsidTr="00B86C6B">
        <w:trPr>
          <w:trHeight w:val="558"/>
        </w:trPr>
        <w:tc>
          <w:tcPr>
            <w:tcW w:w="4786" w:type="dxa"/>
            <w:gridSpan w:val="4"/>
            <w:tcBorders>
              <w:bottom w:val="single" w:sz="4" w:space="0" w:color="auto"/>
            </w:tcBorders>
            <w:shd w:val="clear" w:color="auto" w:fill="0DA72A"/>
            <w:tcMar>
              <w:top w:w="57" w:type="dxa"/>
              <w:bottom w:w="57" w:type="dxa"/>
            </w:tcMar>
            <w:vAlign w:val="center"/>
          </w:tcPr>
          <w:p w:rsidR="00C724B8" w:rsidRPr="00360F70" w:rsidRDefault="00E80F73" w:rsidP="00C724B8">
            <w:pPr>
              <w:widowControl w:val="0"/>
              <w:spacing w:before="20" w:after="20"/>
              <w:ind w:left="85" w:right="85"/>
              <w:rPr>
                <w:rFonts w:ascii="Verdana" w:hAnsi="Verdana"/>
                <w:b/>
                <w:color w:val="FFFFFF"/>
                <w:sz w:val="32"/>
                <w:szCs w:val="32"/>
              </w:rPr>
            </w:pPr>
            <w:r w:rsidRPr="00360F70">
              <w:rPr>
                <w:rFonts w:ascii="Verdana" w:hAnsi="Verdana"/>
                <w:b/>
                <w:color w:val="FFFFFF"/>
                <w:sz w:val="32"/>
              </w:rPr>
              <w:t>8. Riskbaserad strategi för glycerin</w:t>
            </w:r>
          </w:p>
          <w:p w:rsidR="00C724B8" w:rsidRPr="00360F70" w:rsidRDefault="00C724B8" w:rsidP="00542173">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vAlign w:val="center"/>
          </w:tcPr>
          <w:p w:rsidR="00C724B8" w:rsidRPr="00360F70" w:rsidRDefault="00C724B8" w:rsidP="00AE2E62">
            <w:pPr>
              <w:widowControl w:val="0"/>
              <w:rPr>
                <w:rFonts w:ascii="Verdana" w:hAnsi="Verdana" w:cs="Tahoma"/>
                <w:b/>
                <w:color w:val="FFFFFF"/>
                <w:sz w:val="28"/>
                <w:szCs w:val="28"/>
              </w:rPr>
            </w:pPr>
            <w:r w:rsidRPr="00360F70">
              <w:rPr>
                <w:rFonts w:ascii="Verdana" w:hAnsi="Verdana"/>
                <w:b/>
                <w:color w:val="FFFFFF"/>
                <w:sz w:val="28"/>
              </w:rPr>
              <w:t>4. Fas 1 av 3 – Transesterifiering (reaktionsfasen)</w:t>
            </w:r>
          </w:p>
        </w:tc>
      </w:tr>
      <w:tr w:rsidR="00B86C6B" w:rsidRPr="00360F70" w:rsidTr="008A645C">
        <w:trPr>
          <w:trHeight w:val="988"/>
        </w:trPr>
        <w:tc>
          <w:tcPr>
            <w:tcW w:w="1856"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36"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877"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7"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851"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Risk-klass</w:t>
            </w:r>
          </w:p>
        </w:tc>
        <w:tc>
          <w:tcPr>
            <w:tcW w:w="2524"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1870" w:type="dxa"/>
            <w:tcBorders>
              <w:bottom w:val="single" w:sz="4" w:space="0" w:color="auto"/>
            </w:tcBorders>
            <w:shd w:val="clear" w:color="auto" w:fill="0DA72A"/>
            <w:tcMar>
              <w:top w:w="28" w:type="dxa"/>
              <w:bottom w:w="28" w:type="dxa"/>
            </w:tcMar>
            <w:vAlign w:val="center"/>
          </w:tcPr>
          <w:p w:rsidR="00B86C6B" w:rsidRPr="00360F70" w:rsidRDefault="00B86C6B" w:rsidP="00A8208F">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w:t>
            </w:r>
          </w:p>
        </w:tc>
        <w:tc>
          <w:tcPr>
            <w:tcW w:w="2551"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B86C6B" w:rsidRPr="00360F70" w:rsidRDefault="00B86C6B" w:rsidP="00542173">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B86C6B" w:rsidRPr="00360F70" w:rsidTr="008A645C">
        <w:trPr>
          <w:trHeight w:val="151"/>
        </w:trPr>
        <w:tc>
          <w:tcPr>
            <w:tcW w:w="1856" w:type="dxa"/>
            <w:tcBorders>
              <w:bottom w:val="single" w:sz="4" w:space="0" w:color="auto"/>
            </w:tcBorders>
            <w:tcMar>
              <w:top w:w="85" w:type="dxa"/>
              <w:bottom w:w="85" w:type="dxa"/>
            </w:tcMar>
          </w:tcPr>
          <w:p w:rsidR="00B86C6B" w:rsidRPr="00360F70" w:rsidRDefault="00AB5105" w:rsidP="00542173">
            <w:pPr>
              <w:widowControl w:val="0"/>
              <w:rPr>
                <w:rFonts w:ascii="Verdana" w:hAnsi="Verdana" w:cs="Tahoma"/>
                <w:b/>
                <w:bCs/>
                <w:sz w:val="16"/>
                <w:szCs w:val="16"/>
              </w:rPr>
            </w:pPr>
            <w:r w:rsidRPr="00360F70">
              <w:rPr>
                <w:rFonts w:ascii="Verdana" w:hAnsi="Verdana"/>
                <w:b/>
                <w:sz w:val="16"/>
              </w:rPr>
              <w:t>Främmande ämnen i process</w:t>
            </w:r>
            <w:r w:rsidRPr="00360F70">
              <w:softHyphen/>
            </w:r>
            <w:r w:rsidRPr="00360F70">
              <w:rPr>
                <w:rFonts w:ascii="Verdana" w:hAnsi="Verdana"/>
                <w:b/>
                <w:sz w:val="16"/>
              </w:rPr>
              <w:t>hjälpmedel</w:t>
            </w:r>
            <w:r w:rsidR="00360F70">
              <w:rPr>
                <w:rFonts w:ascii="Verdana" w:hAnsi="Verdana"/>
                <w:b/>
                <w:sz w:val="16"/>
              </w:rPr>
              <w:t xml:space="preserve"> </w:t>
            </w:r>
          </w:p>
          <w:p w:rsidR="00B86C6B" w:rsidRPr="00360F70" w:rsidRDefault="00B86C6B" w:rsidP="00542173">
            <w:pPr>
              <w:widowControl w:val="0"/>
              <w:rPr>
                <w:rFonts w:ascii="Verdana" w:hAnsi="Verdana" w:cs="Tahoma"/>
                <w:b/>
                <w:bCs/>
                <w:sz w:val="16"/>
                <w:szCs w:val="16"/>
              </w:rPr>
            </w:pPr>
            <w:r w:rsidRPr="00360F70">
              <w:rPr>
                <w:rFonts w:ascii="Verdana" w:hAnsi="Verdana"/>
                <w:b/>
                <w:sz w:val="16"/>
              </w:rPr>
              <w:t>(alkaliska lösningar, syror)</w:t>
            </w:r>
          </w:p>
        </w:tc>
        <w:tc>
          <w:tcPr>
            <w:tcW w:w="636" w:type="dxa"/>
            <w:tcBorders>
              <w:bottom w:val="single" w:sz="4" w:space="0" w:color="auto"/>
            </w:tcBorders>
            <w:tcMar>
              <w:top w:w="85" w:type="dxa"/>
              <w:bottom w:w="85" w:type="dxa"/>
            </w:tcMar>
          </w:tcPr>
          <w:p w:rsidR="00B86C6B" w:rsidRPr="00360F70" w:rsidRDefault="00B86C6B" w:rsidP="00542173">
            <w:pPr>
              <w:widowControl w:val="0"/>
              <w:jc w:val="center"/>
              <w:rPr>
                <w:rFonts w:ascii="Verdana" w:hAnsi="Verdana" w:cs="Tahoma"/>
                <w:sz w:val="16"/>
                <w:szCs w:val="16"/>
              </w:rPr>
            </w:pPr>
            <w:r w:rsidRPr="00360F70">
              <w:rPr>
                <w:rFonts w:ascii="Verdana" w:hAnsi="Verdana"/>
                <w:sz w:val="16"/>
              </w:rPr>
              <w:t>C</w:t>
            </w:r>
          </w:p>
        </w:tc>
        <w:tc>
          <w:tcPr>
            <w:tcW w:w="877" w:type="dxa"/>
            <w:tcBorders>
              <w:bottom w:val="single" w:sz="4" w:space="0" w:color="auto"/>
            </w:tcBorders>
            <w:tcMar>
              <w:top w:w="85" w:type="dxa"/>
              <w:bottom w:w="85" w:type="dxa"/>
            </w:tcMar>
          </w:tcPr>
          <w:p w:rsidR="00B86C6B" w:rsidRPr="00360F70" w:rsidRDefault="00B86C6B" w:rsidP="00FF185B">
            <w:pPr>
              <w:widowControl w:val="0"/>
              <w:jc w:val="center"/>
              <w:rPr>
                <w:rFonts w:ascii="Verdana" w:hAnsi="Verdana" w:cs="Tahoma"/>
                <w:sz w:val="16"/>
                <w:szCs w:val="16"/>
              </w:rPr>
            </w:pPr>
            <w:r w:rsidRPr="00360F70">
              <w:rPr>
                <w:rFonts w:ascii="Verdana" w:hAnsi="Verdana"/>
                <w:sz w:val="16"/>
              </w:rPr>
              <w:t xml:space="preserve"> Liten</w:t>
            </w:r>
          </w:p>
        </w:tc>
        <w:tc>
          <w:tcPr>
            <w:tcW w:w="1417" w:type="dxa"/>
            <w:tcBorders>
              <w:bottom w:val="single" w:sz="4" w:space="0" w:color="auto"/>
            </w:tcBorders>
            <w:tcMar>
              <w:top w:w="85" w:type="dxa"/>
              <w:bottom w:w="85" w:type="dxa"/>
            </w:tcMar>
          </w:tcPr>
          <w:p w:rsidR="00B86C6B" w:rsidRPr="00360F70" w:rsidRDefault="00FF185B" w:rsidP="00542173">
            <w:pPr>
              <w:widowControl w:val="0"/>
              <w:jc w:val="center"/>
              <w:rPr>
                <w:rFonts w:ascii="Verdana" w:hAnsi="Verdana" w:cs="Tahoma"/>
                <w:sz w:val="16"/>
                <w:szCs w:val="16"/>
              </w:rPr>
            </w:pPr>
            <w:r w:rsidRPr="00360F70">
              <w:rPr>
                <w:rFonts w:ascii="Verdana" w:hAnsi="Verdana"/>
                <w:sz w:val="16"/>
              </w:rPr>
              <w:t>Måttlig</w:t>
            </w:r>
          </w:p>
        </w:tc>
        <w:tc>
          <w:tcPr>
            <w:tcW w:w="851" w:type="dxa"/>
            <w:tcBorders>
              <w:bottom w:val="single" w:sz="4" w:space="0" w:color="auto"/>
            </w:tcBorders>
            <w:shd w:val="clear" w:color="auto" w:fill="auto"/>
            <w:tcMar>
              <w:top w:w="85" w:type="dxa"/>
              <w:bottom w:w="85" w:type="dxa"/>
            </w:tcMar>
          </w:tcPr>
          <w:p w:rsidR="00B86C6B" w:rsidRPr="00360F70" w:rsidRDefault="00CE6A2B" w:rsidP="00CE6A2B">
            <w:pPr>
              <w:widowControl w:val="0"/>
              <w:jc w:val="center"/>
              <w:rPr>
                <w:rFonts w:ascii="Verdana" w:hAnsi="Verdana" w:cs="Tahoma"/>
                <w:sz w:val="16"/>
                <w:szCs w:val="16"/>
              </w:rPr>
            </w:pPr>
            <w:r w:rsidRPr="00360F70">
              <w:rPr>
                <w:rFonts w:ascii="Verdana" w:hAnsi="Verdana"/>
                <w:sz w:val="16"/>
              </w:rPr>
              <w:t xml:space="preserve">2 </w:t>
            </w:r>
          </w:p>
        </w:tc>
        <w:tc>
          <w:tcPr>
            <w:tcW w:w="2524" w:type="dxa"/>
            <w:tcBorders>
              <w:bottom w:val="single" w:sz="4" w:space="0" w:color="auto"/>
            </w:tcBorders>
            <w:tcMar>
              <w:top w:w="85" w:type="dxa"/>
              <w:bottom w:w="85" w:type="dxa"/>
            </w:tcMar>
          </w:tcPr>
          <w:p w:rsidR="00B86C6B" w:rsidRPr="00360F70" w:rsidRDefault="00B86C6B" w:rsidP="00542173">
            <w:pPr>
              <w:widowControl w:val="0"/>
              <w:rPr>
                <w:rFonts w:ascii="Verdana" w:hAnsi="Verdana" w:cs="Tahoma"/>
                <w:sz w:val="16"/>
                <w:szCs w:val="16"/>
              </w:rPr>
            </w:pPr>
            <w:r w:rsidRPr="00360F70">
              <w:rPr>
                <w:rFonts w:ascii="Verdana" w:hAnsi="Verdana"/>
                <w:sz w:val="16"/>
              </w:rPr>
              <w:t>Processhjälpmedel kommer i kontakt med produkten.</w:t>
            </w:r>
          </w:p>
        </w:tc>
        <w:tc>
          <w:tcPr>
            <w:tcW w:w="1870" w:type="dxa"/>
            <w:tcBorders>
              <w:bottom w:val="single" w:sz="4" w:space="0" w:color="auto"/>
            </w:tcBorders>
            <w:tcMar>
              <w:top w:w="85" w:type="dxa"/>
              <w:bottom w:w="85" w:type="dxa"/>
            </w:tcMar>
          </w:tcPr>
          <w:p w:rsidR="00B86C6B" w:rsidRPr="00360F70" w:rsidRDefault="00CB6F5D" w:rsidP="00542173">
            <w:pPr>
              <w:widowControl w:val="0"/>
              <w:rPr>
                <w:rFonts w:ascii="Verdana" w:hAnsi="Verdana" w:cs="Tahoma"/>
                <w:sz w:val="16"/>
                <w:szCs w:val="16"/>
              </w:rPr>
            </w:pPr>
            <w:r w:rsidRPr="00360F70">
              <w:rPr>
                <w:rFonts w:ascii="Verdana" w:hAnsi="Verdana"/>
                <w:sz w:val="16"/>
              </w:rPr>
              <w:t>Förordning (EU) nr 68/2013 om en förteckning över foderråvaror</w:t>
            </w:r>
          </w:p>
        </w:tc>
        <w:tc>
          <w:tcPr>
            <w:tcW w:w="2551" w:type="dxa"/>
            <w:tcBorders>
              <w:bottom w:val="single" w:sz="4" w:space="0" w:color="auto"/>
            </w:tcBorders>
            <w:tcMar>
              <w:top w:w="85" w:type="dxa"/>
              <w:bottom w:w="85" w:type="dxa"/>
            </w:tcMar>
          </w:tcPr>
          <w:p w:rsidR="00B86C6B" w:rsidRPr="00360F70" w:rsidRDefault="00B86C6B" w:rsidP="00542173">
            <w:pPr>
              <w:widowControl w:val="0"/>
              <w:rPr>
                <w:rFonts w:ascii="Verdana" w:hAnsi="Verdana" w:cs="Tahoma"/>
                <w:sz w:val="16"/>
                <w:szCs w:val="16"/>
              </w:rPr>
            </w:pPr>
            <w:r w:rsidRPr="00360F70">
              <w:rPr>
                <w:rFonts w:ascii="Verdana" w:hAnsi="Verdana"/>
                <w:sz w:val="16"/>
              </w:rPr>
              <w:t xml:space="preserve">Processhjälpmedel som kommer i direktkontakt med oljan ska utvärderas och lämpliga åtgärder ska vidtas för att minska risken till godtagbara nivåer. </w:t>
            </w:r>
          </w:p>
          <w:p w:rsidR="00B86C6B" w:rsidRPr="00360F70" w:rsidRDefault="00B86C6B" w:rsidP="00542173">
            <w:pPr>
              <w:widowControl w:val="0"/>
              <w:rPr>
                <w:rFonts w:ascii="Verdana" w:hAnsi="Verdana" w:cs="Tahoma"/>
                <w:sz w:val="16"/>
                <w:szCs w:val="16"/>
              </w:rPr>
            </w:pPr>
          </w:p>
          <w:p w:rsidR="00B86C6B" w:rsidRPr="00360F70" w:rsidRDefault="001062E6" w:rsidP="00542173">
            <w:pPr>
              <w:widowControl w:val="0"/>
              <w:rPr>
                <w:rFonts w:ascii="Verdana" w:hAnsi="Verdana" w:cs="Tahoma"/>
                <w:sz w:val="16"/>
                <w:szCs w:val="16"/>
              </w:rPr>
            </w:pPr>
            <w:r w:rsidRPr="00360F70">
              <w:rPr>
                <w:rFonts w:ascii="Verdana" w:hAnsi="Verdana"/>
                <w:sz w:val="16"/>
              </w:rPr>
              <w:t>Processövervakning ”</w:t>
            </w:r>
            <w:proofErr w:type="spellStart"/>
            <w:r w:rsidRPr="00360F70">
              <w:rPr>
                <w:rFonts w:ascii="Verdana" w:hAnsi="Verdana"/>
                <w:sz w:val="16"/>
              </w:rPr>
              <w:t>inline</w:t>
            </w:r>
            <w:proofErr w:type="spellEnd"/>
            <w:r w:rsidRPr="00360F70">
              <w:rPr>
                <w:rFonts w:ascii="Verdana" w:hAnsi="Verdana"/>
                <w:sz w:val="16"/>
              </w:rPr>
              <w:t>”, korrekt märkning av kemikaliebehållare.</w:t>
            </w:r>
          </w:p>
        </w:tc>
        <w:tc>
          <w:tcPr>
            <w:tcW w:w="2127" w:type="dxa"/>
            <w:tcBorders>
              <w:bottom w:val="single" w:sz="4" w:space="0" w:color="auto"/>
            </w:tcBorders>
            <w:tcMar>
              <w:top w:w="85" w:type="dxa"/>
              <w:bottom w:w="85" w:type="dxa"/>
            </w:tcMar>
          </w:tcPr>
          <w:p w:rsidR="00B86C6B" w:rsidRPr="00360F70" w:rsidRDefault="00B86C6B" w:rsidP="00542173">
            <w:pPr>
              <w:widowControl w:val="0"/>
              <w:rPr>
                <w:rFonts w:ascii="Verdana" w:hAnsi="Verdana" w:cs="Tahoma"/>
                <w:sz w:val="16"/>
                <w:szCs w:val="16"/>
              </w:rPr>
            </w:pPr>
          </w:p>
        </w:tc>
      </w:tr>
      <w:tr w:rsidR="00B86C6B" w:rsidRPr="00360F70" w:rsidTr="00B86C6B">
        <w:trPr>
          <w:trHeight w:val="151"/>
        </w:trPr>
        <w:tc>
          <w:tcPr>
            <w:tcW w:w="1856" w:type="dxa"/>
            <w:tcMar>
              <w:top w:w="85" w:type="dxa"/>
              <w:bottom w:w="85" w:type="dxa"/>
            </w:tcMar>
          </w:tcPr>
          <w:p w:rsidR="00B86C6B" w:rsidRPr="00360F70" w:rsidRDefault="00B86C6B" w:rsidP="00542173">
            <w:pPr>
              <w:rPr>
                <w:rFonts w:ascii="Verdana" w:hAnsi="Verdana" w:cs="Tahoma"/>
                <w:b/>
                <w:bCs/>
                <w:sz w:val="16"/>
                <w:szCs w:val="16"/>
              </w:rPr>
            </w:pPr>
            <w:r w:rsidRPr="00360F70">
              <w:rPr>
                <w:rFonts w:ascii="Verdana" w:hAnsi="Verdana"/>
                <w:b/>
                <w:sz w:val="16"/>
              </w:rPr>
              <w:t>Kontaminering vid tillsats av metanol</w:t>
            </w:r>
          </w:p>
          <w:p w:rsidR="00B86C6B" w:rsidRPr="00360F70" w:rsidRDefault="00B86C6B" w:rsidP="00542173">
            <w:pPr>
              <w:widowControl w:val="0"/>
              <w:rPr>
                <w:rFonts w:ascii="Verdana" w:hAnsi="Verdana" w:cs="Tahoma"/>
                <w:b/>
                <w:bCs/>
                <w:sz w:val="16"/>
                <w:szCs w:val="16"/>
              </w:rPr>
            </w:pPr>
          </w:p>
        </w:tc>
        <w:tc>
          <w:tcPr>
            <w:tcW w:w="636" w:type="dxa"/>
            <w:tcMar>
              <w:top w:w="85" w:type="dxa"/>
              <w:bottom w:w="85" w:type="dxa"/>
            </w:tcMar>
          </w:tcPr>
          <w:p w:rsidR="00B86C6B" w:rsidRPr="00360F70" w:rsidRDefault="00B86C6B" w:rsidP="00542173">
            <w:pPr>
              <w:jc w:val="center"/>
              <w:rPr>
                <w:rFonts w:ascii="Verdana" w:hAnsi="Verdana" w:cs="Tahoma"/>
                <w:sz w:val="16"/>
                <w:szCs w:val="16"/>
              </w:rPr>
            </w:pPr>
          </w:p>
        </w:tc>
        <w:tc>
          <w:tcPr>
            <w:tcW w:w="877" w:type="dxa"/>
            <w:tcMar>
              <w:top w:w="85" w:type="dxa"/>
              <w:bottom w:w="85" w:type="dxa"/>
            </w:tcMar>
          </w:tcPr>
          <w:p w:rsidR="00B86C6B" w:rsidRPr="00360F70" w:rsidRDefault="00B86C6B" w:rsidP="00542173">
            <w:pPr>
              <w:jc w:val="center"/>
              <w:rPr>
                <w:rFonts w:ascii="Verdana" w:hAnsi="Verdana" w:cs="Tahoma"/>
                <w:sz w:val="16"/>
                <w:szCs w:val="16"/>
              </w:rPr>
            </w:pPr>
            <w:r w:rsidRPr="00360F70">
              <w:rPr>
                <w:rFonts w:ascii="Verdana" w:hAnsi="Verdana"/>
                <w:sz w:val="16"/>
              </w:rPr>
              <w:t>Liten</w:t>
            </w:r>
          </w:p>
        </w:tc>
        <w:tc>
          <w:tcPr>
            <w:tcW w:w="1417" w:type="dxa"/>
            <w:tcMar>
              <w:top w:w="85" w:type="dxa"/>
              <w:bottom w:w="85" w:type="dxa"/>
            </w:tcMar>
          </w:tcPr>
          <w:p w:rsidR="00B86C6B" w:rsidRPr="00360F70" w:rsidRDefault="00B86C6B" w:rsidP="00542173">
            <w:pPr>
              <w:jc w:val="center"/>
              <w:rPr>
                <w:rFonts w:ascii="Verdana" w:hAnsi="Verdana" w:cs="Tahoma"/>
                <w:sz w:val="16"/>
                <w:szCs w:val="16"/>
              </w:rPr>
            </w:pPr>
            <w:r w:rsidRPr="00360F70">
              <w:rPr>
                <w:rFonts w:ascii="Verdana" w:hAnsi="Verdana"/>
                <w:sz w:val="16"/>
              </w:rPr>
              <w:t>Måttlig</w:t>
            </w:r>
          </w:p>
        </w:tc>
        <w:tc>
          <w:tcPr>
            <w:tcW w:w="851" w:type="dxa"/>
            <w:tcMar>
              <w:top w:w="85" w:type="dxa"/>
              <w:bottom w:w="85" w:type="dxa"/>
            </w:tcMar>
          </w:tcPr>
          <w:p w:rsidR="00B86C6B" w:rsidRPr="00360F70" w:rsidRDefault="00B86C6B" w:rsidP="00542173">
            <w:pPr>
              <w:jc w:val="center"/>
              <w:rPr>
                <w:rFonts w:ascii="Verdana" w:hAnsi="Verdana" w:cs="Tahoma"/>
                <w:sz w:val="16"/>
                <w:szCs w:val="16"/>
              </w:rPr>
            </w:pPr>
            <w:r w:rsidRPr="00360F70">
              <w:rPr>
                <w:rFonts w:ascii="Verdana" w:hAnsi="Verdana"/>
                <w:sz w:val="16"/>
              </w:rPr>
              <w:t>2</w:t>
            </w:r>
          </w:p>
        </w:tc>
        <w:tc>
          <w:tcPr>
            <w:tcW w:w="2524" w:type="dxa"/>
            <w:tcMar>
              <w:top w:w="85" w:type="dxa"/>
              <w:bottom w:w="85" w:type="dxa"/>
            </w:tcMar>
          </w:tcPr>
          <w:p w:rsidR="00B86C6B" w:rsidRPr="00360F70" w:rsidRDefault="00B86C6B" w:rsidP="00B06E5A">
            <w:pPr>
              <w:rPr>
                <w:rFonts w:ascii="Verdana" w:hAnsi="Verdana" w:cs="Tahoma"/>
                <w:sz w:val="16"/>
                <w:szCs w:val="16"/>
              </w:rPr>
            </w:pPr>
            <w:r w:rsidRPr="00360F70">
              <w:rPr>
                <w:rFonts w:ascii="Verdana" w:hAnsi="Verdana"/>
                <w:sz w:val="16"/>
              </w:rPr>
              <w:t>Främmande ämnen i metanolen</w:t>
            </w:r>
          </w:p>
        </w:tc>
        <w:tc>
          <w:tcPr>
            <w:tcW w:w="1870" w:type="dxa"/>
            <w:tcMar>
              <w:top w:w="85" w:type="dxa"/>
              <w:bottom w:w="85" w:type="dxa"/>
            </w:tcMar>
          </w:tcPr>
          <w:p w:rsidR="00B86C6B" w:rsidRPr="00360F70" w:rsidRDefault="00B86C6B" w:rsidP="00542173">
            <w:pPr>
              <w:rPr>
                <w:rFonts w:ascii="Verdana" w:hAnsi="Verdana" w:cs="Tahoma"/>
                <w:sz w:val="16"/>
                <w:szCs w:val="16"/>
              </w:rPr>
            </w:pPr>
          </w:p>
        </w:tc>
        <w:tc>
          <w:tcPr>
            <w:tcW w:w="2551" w:type="dxa"/>
            <w:tcMar>
              <w:top w:w="85" w:type="dxa"/>
              <w:bottom w:w="85" w:type="dxa"/>
            </w:tcMar>
          </w:tcPr>
          <w:p w:rsidR="00B86C6B" w:rsidRPr="00360F70" w:rsidRDefault="00B86C6B" w:rsidP="00542173">
            <w:pPr>
              <w:widowControl w:val="0"/>
              <w:rPr>
                <w:rFonts w:ascii="Verdana" w:hAnsi="Verdana" w:cs="Tahoma"/>
                <w:iCs/>
                <w:sz w:val="16"/>
                <w:szCs w:val="16"/>
              </w:rPr>
            </w:pPr>
            <w:r w:rsidRPr="00360F70">
              <w:rPr>
                <w:rFonts w:ascii="Verdana" w:hAnsi="Verdana"/>
                <w:sz w:val="16"/>
              </w:rPr>
              <w:t xml:space="preserve">Använd metanol av lämplig kvalitet. </w:t>
            </w:r>
          </w:p>
          <w:p w:rsidR="00B86C6B" w:rsidRPr="00360F70" w:rsidRDefault="00B86C6B" w:rsidP="00542173">
            <w:pPr>
              <w:widowControl w:val="0"/>
              <w:rPr>
                <w:rFonts w:ascii="Verdana" w:hAnsi="Verdana" w:cs="Tahoma"/>
                <w:iCs/>
                <w:sz w:val="16"/>
                <w:szCs w:val="16"/>
              </w:rPr>
            </w:pPr>
          </w:p>
          <w:p w:rsidR="00B86C6B" w:rsidRPr="00360F70" w:rsidRDefault="00B86C6B" w:rsidP="00542173">
            <w:pPr>
              <w:widowControl w:val="0"/>
              <w:rPr>
                <w:rFonts w:ascii="Verdana" w:hAnsi="Verdana" w:cs="Tahoma"/>
                <w:iCs/>
                <w:sz w:val="16"/>
                <w:szCs w:val="16"/>
              </w:rPr>
            </w:pPr>
            <w:r w:rsidRPr="00360F70">
              <w:rPr>
                <w:rFonts w:ascii="Verdana" w:hAnsi="Verdana"/>
                <w:sz w:val="16"/>
              </w:rPr>
              <w:t>Beskrivs i kontraktsspecifikationen.</w:t>
            </w:r>
          </w:p>
          <w:p w:rsidR="00B86C6B" w:rsidRPr="00360F70" w:rsidRDefault="00B86C6B" w:rsidP="00542173">
            <w:pPr>
              <w:widowControl w:val="0"/>
              <w:rPr>
                <w:rFonts w:ascii="Verdana" w:hAnsi="Verdana" w:cs="Tahoma"/>
                <w:iCs/>
                <w:sz w:val="16"/>
                <w:szCs w:val="16"/>
              </w:rPr>
            </w:pPr>
          </w:p>
          <w:p w:rsidR="00B86C6B" w:rsidRPr="00360F70" w:rsidRDefault="00B86C6B" w:rsidP="00542173">
            <w:pPr>
              <w:widowControl w:val="0"/>
              <w:rPr>
                <w:rFonts w:ascii="Verdana" w:hAnsi="Verdana" w:cs="Tahoma"/>
                <w:iCs/>
                <w:sz w:val="16"/>
                <w:szCs w:val="16"/>
              </w:rPr>
            </w:pPr>
            <w:r w:rsidRPr="00360F70">
              <w:rPr>
                <w:rFonts w:ascii="Verdana" w:hAnsi="Verdana"/>
                <w:sz w:val="16"/>
              </w:rPr>
              <w:t>Onlineövervakning av processen, korrekt märkning av kemikaliebehållare.</w:t>
            </w:r>
          </w:p>
        </w:tc>
        <w:tc>
          <w:tcPr>
            <w:tcW w:w="2127" w:type="dxa"/>
            <w:tcMar>
              <w:top w:w="85" w:type="dxa"/>
              <w:bottom w:w="85" w:type="dxa"/>
            </w:tcMar>
          </w:tcPr>
          <w:p w:rsidR="00B86C6B" w:rsidRPr="00360F70" w:rsidRDefault="00B86C6B" w:rsidP="00542173">
            <w:pPr>
              <w:rPr>
                <w:rFonts w:ascii="Verdana" w:hAnsi="Verdana" w:cs="Tahoma"/>
                <w:sz w:val="16"/>
                <w:szCs w:val="16"/>
              </w:rPr>
            </w:pPr>
            <w:r w:rsidRPr="00360F70">
              <w:rPr>
                <w:rFonts w:ascii="Verdana" w:hAnsi="Verdana"/>
                <w:sz w:val="16"/>
              </w:rPr>
              <w:t>I mycket små verksamheter kan hanteringen av kemikalier utgöra en större risk för aktören om kemikalierna överförs manuellt och används i en partiprocess i stället för i ett automatiserat system.</w:t>
            </w:r>
          </w:p>
          <w:p w:rsidR="00B86C6B" w:rsidRPr="00360F70" w:rsidRDefault="00B86C6B" w:rsidP="00542173">
            <w:pPr>
              <w:widowControl w:val="0"/>
              <w:rPr>
                <w:rFonts w:ascii="Verdana" w:hAnsi="Verdana" w:cs="Tahoma"/>
                <w:sz w:val="16"/>
                <w:szCs w:val="16"/>
              </w:rPr>
            </w:pPr>
          </w:p>
        </w:tc>
      </w:tr>
      <w:tr w:rsidR="003C44A3" w:rsidRPr="00957197" w:rsidTr="003C44A3">
        <w:trPr>
          <w:trHeight w:val="151"/>
        </w:trPr>
        <w:tc>
          <w:tcPr>
            <w:tcW w:w="1856"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360F70" w:rsidRDefault="003C44A3" w:rsidP="003C44A3">
            <w:pPr>
              <w:rPr>
                <w:rFonts w:ascii="Verdana" w:hAnsi="Verdana" w:cs="Tahoma"/>
                <w:b/>
                <w:bCs/>
                <w:sz w:val="16"/>
                <w:szCs w:val="16"/>
              </w:rPr>
            </w:pPr>
            <w:r w:rsidRPr="00360F70">
              <w:rPr>
                <w:rFonts w:ascii="Verdana" w:hAnsi="Verdana"/>
                <w:b/>
                <w:sz w:val="16"/>
              </w:rPr>
              <w:t xml:space="preserve">Kontaminering vid tillsats av </w:t>
            </w:r>
            <w:r>
              <w:rPr>
                <w:rFonts w:ascii="Verdana" w:hAnsi="Verdana"/>
                <w:b/>
                <w:sz w:val="16"/>
              </w:rPr>
              <w:t>katalysator</w:t>
            </w:r>
          </w:p>
          <w:p w:rsidR="003C44A3" w:rsidRPr="003C44A3" w:rsidRDefault="003C44A3" w:rsidP="00642AE0">
            <w:pPr>
              <w:rPr>
                <w:rFonts w:ascii="Verdana" w:hAnsi="Verdana"/>
                <w:b/>
                <w:sz w:val="16"/>
              </w:rPr>
            </w:pPr>
          </w:p>
        </w:tc>
        <w:tc>
          <w:tcPr>
            <w:tcW w:w="636"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55765D" w:rsidRDefault="003C44A3" w:rsidP="00642AE0">
            <w:pPr>
              <w:jc w:val="center"/>
              <w:rPr>
                <w:rFonts w:ascii="Verdana" w:hAnsi="Verdana" w:cs="Tahoma"/>
                <w:sz w:val="16"/>
                <w:szCs w:val="16"/>
              </w:rPr>
            </w:pPr>
          </w:p>
        </w:tc>
        <w:tc>
          <w:tcPr>
            <w:tcW w:w="877"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3C44A3" w:rsidRDefault="003C44A3" w:rsidP="00642AE0">
            <w:pPr>
              <w:jc w:val="center"/>
              <w:rPr>
                <w:rFonts w:ascii="Verdana" w:hAnsi="Verdana"/>
                <w:sz w:val="16"/>
              </w:rPr>
            </w:pPr>
            <w:r w:rsidRPr="00360F70">
              <w:rPr>
                <w:rFonts w:ascii="Verdana" w:hAnsi="Verdana"/>
                <w:sz w:val="16"/>
              </w:rPr>
              <w:t>Liten</w:t>
            </w:r>
          </w:p>
        </w:tc>
        <w:tc>
          <w:tcPr>
            <w:tcW w:w="1417"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3C44A3" w:rsidRDefault="003C44A3" w:rsidP="00642AE0">
            <w:pPr>
              <w:jc w:val="center"/>
              <w:rPr>
                <w:rFonts w:ascii="Verdana" w:hAnsi="Verdana"/>
                <w:sz w:val="16"/>
              </w:rPr>
            </w:pPr>
            <w:r w:rsidRPr="00360F70">
              <w:rPr>
                <w:rFonts w:ascii="Verdana" w:hAnsi="Verdana"/>
                <w:sz w:val="16"/>
              </w:rPr>
              <w:t>Måttlig</w:t>
            </w:r>
          </w:p>
        </w:tc>
        <w:tc>
          <w:tcPr>
            <w:tcW w:w="851"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3C44A3" w:rsidRDefault="003C44A3" w:rsidP="00642AE0">
            <w:pPr>
              <w:jc w:val="center"/>
              <w:rPr>
                <w:rFonts w:ascii="Verdana" w:hAnsi="Verdana"/>
                <w:sz w:val="16"/>
              </w:rPr>
            </w:pPr>
            <w:r w:rsidRPr="003C44A3">
              <w:rPr>
                <w:rFonts w:ascii="Verdana" w:hAnsi="Verdana"/>
                <w:sz w:val="16"/>
              </w:rPr>
              <w:t>2</w:t>
            </w:r>
          </w:p>
        </w:tc>
        <w:tc>
          <w:tcPr>
            <w:tcW w:w="2524"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3C44A3" w:rsidRDefault="003C44A3" w:rsidP="00761399">
            <w:pPr>
              <w:rPr>
                <w:rFonts w:ascii="Verdana" w:hAnsi="Verdana"/>
                <w:sz w:val="16"/>
              </w:rPr>
            </w:pPr>
            <w:r w:rsidRPr="00360F70">
              <w:rPr>
                <w:rFonts w:ascii="Verdana" w:hAnsi="Verdana"/>
                <w:sz w:val="16"/>
              </w:rPr>
              <w:t xml:space="preserve">Främmande ämnen i </w:t>
            </w:r>
            <w:r>
              <w:rPr>
                <w:rFonts w:ascii="Verdana" w:hAnsi="Verdana"/>
                <w:sz w:val="16"/>
              </w:rPr>
              <w:t>k</w:t>
            </w:r>
            <w:r w:rsidRPr="003C44A3">
              <w:rPr>
                <w:rFonts w:ascii="Verdana" w:hAnsi="Verdana"/>
                <w:sz w:val="16"/>
              </w:rPr>
              <w:t>ataly</w:t>
            </w:r>
            <w:r w:rsidR="00761399">
              <w:rPr>
                <w:rFonts w:ascii="Verdana" w:hAnsi="Verdana"/>
                <w:sz w:val="16"/>
              </w:rPr>
              <w:t>sator</w:t>
            </w:r>
          </w:p>
        </w:tc>
        <w:tc>
          <w:tcPr>
            <w:tcW w:w="1870"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55765D" w:rsidRDefault="003C44A3" w:rsidP="00642AE0">
            <w:pPr>
              <w:rPr>
                <w:rFonts w:ascii="Verdana" w:hAnsi="Verdana" w:cs="Tahoma"/>
                <w:sz w:val="16"/>
                <w:szCs w:val="16"/>
              </w:rPr>
            </w:pPr>
          </w:p>
        </w:tc>
        <w:tc>
          <w:tcPr>
            <w:tcW w:w="2551" w:type="dxa"/>
            <w:tcBorders>
              <w:top w:val="single" w:sz="4" w:space="0" w:color="auto"/>
              <w:left w:val="single" w:sz="4" w:space="0" w:color="auto"/>
              <w:bottom w:val="single" w:sz="4" w:space="0" w:color="auto"/>
              <w:right w:val="single" w:sz="4" w:space="0" w:color="auto"/>
            </w:tcBorders>
            <w:tcMar>
              <w:top w:w="85" w:type="dxa"/>
              <w:bottom w:w="85" w:type="dxa"/>
            </w:tcMar>
          </w:tcPr>
          <w:p w:rsidR="00761399" w:rsidRPr="00360F70" w:rsidRDefault="00761399" w:rsidP="00761399">
            <w:pPr>
              <w:widowControl w:val="0"/>
              <w:rPr>
                <w:rFonts w:ascii="Verdana" w:hAnsi="Verdana" w:cs="Tahoma"/>
                <w:iCs/>
                <w:sz w:val="16"/>
                <w:szCs w:val="16"/>
              </w:rPr>
            </w:pPr>
            <w:r w:rsidRPr="00360F70">
              <w:rPr>
                <w:rFonts w:ascii="Verdana" w:hAnsi="Verdana"/>
                <w:sz w:val="16"/>
              </w:rPr>
              <w:t xml:space="preserve">Använd </w:t>
            </w:r>
            <w:r>
              <w:rPr>
                <w:rFonts w:ascii="Verdana" w:hAnsi="Verdana"/>
                <w:sz w:val="16"/>
              </w:rPr>
              <w:t>katalysator</w:t>
            </w:r>
            <w:r w:rsidRPr="00360F70">
              <w:rPr>
                <w:rFonts w:ascii="Verdana" w:hAnsi="Verdana"/>
                <w:sz w:val="16"/>
              </w:rPr>
              <w:t xml:space="preserve"> av lämplig kvalitet. </w:t>
            </w:r>
          </w:p>
          <w:p w:rsidR="00761399" w:rsidRPr="00360F70" w:rsidRDefault="00761399" w:rsidP="00761399">
            <w:pPr>
              <w:widowControl w:val="0"/>
              <w:rPr>
                <w:rFonts w:ascii="Verdana" w:hAnsi="Verdana" w:cs="Tahoma"/>
                <w:iCs/>
                <w:sz w:val="16"/>
                <w:szCs w:val="16"/>
              </w:rPr>
            </w:pPr>
          </w:p>
          <w:p w:rsidR="003C44A3" w:rsidRPr="003C44A3" w:rsidRDefault="00761399" w:rsidP="00642AE0">
            <w:pPr>
              <w:widowControl w:val="0"/>
              <w:rPr>
                <w:rFonts w:ascii="Verdana" w:hAnsi="Verdana"/>
                <w:sz w:val="16"/>
              </w:rPr>
            </w:pPr>
            <w:r w:rsidRPr="00360F70">
              <w:rPr>
                <w:rFonts w:ascii="Verdana" w:hAnsi="Verdana"/>
                <w:sz w:val="16"/>
              </w:rPr>
              <w:t>Beskrivs i kontraktsspecifikationen</w:t>
            </w:r>
            <w:r>
              <w:rPr>
                <w:rFonts w:ascii="Verdana" w:hAnsi="Verdana"/>
                <w:sz w:val="16"/>
              </w:rPr>
              <w:t>.</w:t>
            </w:r>
          </w:p>
          <w:p w:rsidR="003C44A3" w:rsidRPr="003C44A3" w:rsidRDefault="003C44A3" w:rsidP="00642AE0">
            <w:pPr>
              <w:widowControl w:val="0"/>
              <w:rPr>
                <w:rFonts w:ascii="Verdana" w:hAnsi="Verdana"/>
                <w:sz w:val="16"/>
              </w:rPr>
            </w:pPr>
          </w:p>
          <w:p w:rsidR="003C44A3" w:rsidRPr="003C44A3" w:rsidRDefault="00761399" w:rsidP="00642AE0">
            <w:pPr>
              <w:widowControl w:val="0"/>
              <w:rPr>
                <w:rFonts w:ascii="Verdana" w:hAnsi="Verdana"/>
                <w:sz w:val="16"/>
              </w:rPr>
            </w:pPr>
            <w:r w:rsidRPr="00360F70">
              <w:rPr>
                <w:rFonts w:ascii="Verdana" w:hAnsi="Verdana"/>
                <w:sz w:val="16"/>
              </w:rPr>
              <w:t>Onlineövervakning av processen, korrekt märkning av kemikaliebehållare.</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3C44A3" w:rsidRPr="003C44A3" w:rsidRDefault="003C44A3" w:rsidP="00642AE0">
            <w:pPr>
              <w:rPr>
                <w:rFonts w:ascii="Verdana" w:hAnsi="Verdana"/>
                <w:sz w:val="16"/>
              </w:rPr>
            </w:pPr>
          </w:p>
        </w:tc>
      </w:tr>
    </w:tbl>
    <w:p w:rsidR="00B86C6B" w:rsidRPr="00360F70" w:rsidRDefault="00B86C6B" w:rsidP="004E54A8">
      <w:pPr>
        <w:rPr>
          <w:rFonts w:ascii="Verdana" w:hAnsi="Verdana" w:cs="Tahoma"/>
          <w:sz w:val="14"/>
          <w:szCs w:val="14"/>
        </w:rPr>
      </w:pPr>
    </w:p>
    <w:p w:rsidR="00B86C6B" w:rsidRPr="00360F70" w:rsidRDefault="00B86C6B">
      <w:pPr>
        <w:rPr>
          <w:rFonts w:ascii="Verdana" w:hAnsi="Verdana" w:cs="Tahoma"/>
          <w:sz w:val="14"/>
          <w:szCs w:val="14"/>
        </w:rPr>
      </w:pPr>
      <w:r w:rsidRPr="00360F70">
        <w:br w:type="page"/>
      </w: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642"/>
        <w:gridCol w:w="993"/>
        <w:gridCol w:w="1418"/>
        <w:gridCol w:w="850"/>
        <w:gridCol w:w="2410"/>
        <w:gridCol w:w="2268"/>
        <w:gridCol w:w="2126"/>
        <w:gridCol w:w="1985"/>
      </w:tblGrid>
      <w:tr w:rsidR="00C724B8" w:rsidRPr="00360F70" w:rsidTr="003E010C">
        <w:trPr>
          <w:trHeight w:val="482"/>
        </w:trPr>
        <w:tc>
          <w:tcPr>
            <w:tcW w:w="4928" w:type="dxa"/>
            <w:gridSpan w:val="4"/>
            <w:tcBorders>
              <w:bottom w:val="single" w:sz="4" w:space="0" w:color="auto"/>
            </w:tcBorders>
            <w:shd w:val="clear" w:color="auto" w:fill="0DA72A"/>
            <w:tcMar>
              <w:top w:w="57" w:type="dxa"/>
              <w:bottom w:w="57" w:type="dxa"/>
            </w:tcMar>
            <w:vAlign w:val="center"/>
          </w:tcPr>
          <w:p w:rsidR="00C724B8" w:rsidRPr="00360F70" w:rsidRDefault="00E80F73" w:rsidP="00C724B8">
            <w:pPr>
              <w:widowControl w:val="0"/>
              <w:spacing w:before="20" w:after="20"/>
              <w:ind w:left="85" w:right="85"/>
              <w:rPr>
                <w:rFonts w:ascii="Verdana" w:hAnsi="Verdana"/>
                <w:b/>
                <w:color w:val="FFFFFF"/>
                <w:sz w:val="32"/>
                <w:szCs w:val="32"/>
              </w:rPr>
            </w:pPr>
            <w:r w:rsidRPr="00360F70">
              <w:rPr>
                <w:rFonts w:ascii="Verdana" w:hAnsi="Verdana"/>
                <w:b/>
                <w:color w:val="FFFFFF"/>
                <w:sz w:val="32"/>
              </w:rPr>
              <w:t>8. Riskbaserad strategi för glycerin</w:t>
            </w:r>
          </w:p>
          <w:p w:rsidR="00C724B8" w:rsidRPr="00360F70" w:rsidRDefault="00C724B8" w:rsidP="004E54A8">
            <w:pPr>
              <w:widowControl w:val="0"/>
              <w:spacing w:before="20" w:after="20"/>
              <w:jc w:val="right"/>
              <w:rPr>
                <w:rFonts w:ascii="Verdana" w:hAnsi="Verdana" w:cs="Tahoma"/>
                <w:b/>
                <w:bCs/>
                <w:color w:val="FFFFFF"/>
                <w:sz w:val="28"/>
                <w:szCs w:val="28"/>
              </w:rPr>
            </w:pPr>
          </w:p>
        </w:tc>
        <w:tc>
          <w:tcPr>
            <w:tcW w:w="9639" w:type="dxa"/>
            <w:gridSpan w:val="5"/>
            <w:tcBorders>
              <w:left w:val="nil"/>
              <w:bottom w:val="single" w:sz="4" w:space="0" w:color="auto"/>
            </w:tcBorders>
            <w:shd w:val="clear" w:color="auto" w:fill="0DA72A"/>
            <w:tcMar>
              <w:top w:w="57" w:type="dxa"/>
              <w:bottom w:w="57" w:type="dxa"/>
            </w:tcMar>
            <w:vAlign w:val="center"/>
          </w:tcPr>
          <w:p w:rsidR="00C724B8" w:rsidRPr="00360F70" w:rsidRDefault="00C724B8" w:rsidP="004E54A8">
            <w:pPr>
              <w:widowControl w:val="0"/>
              <w:rPr>
                <w:rFonts w:ascii="Verdana" w:hAnsi="Verdana" w:cs="Tahoma"/>
                <w:b/>
                <w:color w:val="FFFFFF"/>
                <w:sz w:val="28"/>
                <w:szCs w:val="28"/>
              </w:rPr>
            </w:pPr>
            <w:r w:rsidRPr="00360F70">
              <w:rPr>
                <w:rFonts w:ascii="Verdana" w:hAnsi="Verdana"/>
                <w:b/>
                <w:color w:val="FFFFFF"/>
                <w:sz w:val="28"/>
              </w:rPr>
              <w:t>5. Fas 2 av 3 – Transesterifiering (separationsfasen)</w:t>
            </w:r>
          </w:p>
        </w:tc>
      </w:tr>
      <w:tr w:rsidR="00B86C6B" w:rsidRPr="00360F70" w:rsidTr="003E010C">
        <w:trPr>
          <w:trHeight w:val="993"/>
        </w:trPr>
        <w:tc>
          <w:tcPr>
            <w:tcW w:w="1875"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42"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993"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8"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850"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410"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2268"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och/eller kontraktsvillkor </w:t>
            </w:r>
          </w:p>
        </w:tc>
        <w:tc>
          <w:tcPr>
            <w:tcW w:w="2126"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1985"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B86C6B" w:rsidRPr="00360F70" w:rsidTr="000C7703">
        <w:trPr>
          <w:trHeight w:val="357"/>
        </w:trPr>
        <w:tc>
          <w:tcPr>
            <w:tcW w:w="1875" w:type="dxa"/>
            <w:tcMar>
              <w:top w:w="85" w:type="dxa"/>
              <w:bottom w:w="85" w:type="dxa"/>
            </w:tcMar>
          </w:tcPr>
          <w:p w:rsidR="00F81C3B" w:rsidRPr="00360F70" w:rsidRDefault="00F81C3B" w:rsidP="004E54A8">
            <w:pPr>
              <w:widowControl w:val="0"/>
              <w:rPr>
                <w:rFonts w:ascii="Verdana" w:hAnsi="Verdana" w:cs="Tahoma"/>
                <w:b/>
                <w:bCs/>
                <w:sz w:val="16"/>
                <w:szCs w:val="16"/>
              </w:rPr>
            </w:pPr>
          </w:p>
          <w:p w:rsidR="00B86C6B" w:rsidRPr="00360F70" w:rsidRDefault="00B86C6B" w:rsidP="009A2121">
            <w:pPr>
              <w:widowControl w:val="0"/>
              <w:rPr>
                <w:rFonts w:ascii="Verdana" w:hAnsi="Verdana" w:cs="Tahoma"/>
                <w:b/>
                <w:bCs/>
                <w:sz w:val="16"/>
                <w:szCs w:val="16"/>
              </w:rPr>
            </w:pPr>
            <w:r w:rsidRPr="00360F70">
              <w:rPr>
                <w:rFonts w:ascii="Verdana" w:hAnsi="Verdana"/>
                <w:b/>
                <w:sz w:val="16"/>
              </w:rPr>
              <w:t>Metylester kvar i glycerinen</w:t>
            </w:r>
          </w:p>
        </w:tc>
        <w:tc>
          <w:tcPr>
            <w:tcW w:w="642" w:type="dxa"/>
            <w:tcMar>
              <w:top w:w="85" w:type="dxa"/>
              <w:bottom w:w="85" w:type="dxa"/>
            </w:tcMar>
          </w:tcPr>
          <w:p w:rsidR="00B86C6B" w:rsidRPr="00360F70" w:rsidRDefault="00B86C6B" w:rsidP="004E54A8">
            <w:pPr>
              <w:widowControl w:val="0"/>
              <w:jc w:val="center"/>
              <w:rPr>
                <w:rFonts w:ascii="Verdana" w:hAnsi="Verdana" w:cs="Tahoma"/>
                <w:sz w:val="16"/>
                <w:szCs w:val="16"/>
              </w:rPr>
            </w:pPr>
          </w:p>
          <w:p w:rsidR="000C7703" w:rsidRPr="00360F70" w:rsidRDefault="000C7703" w:rsidP="004E54A8">
            <w:pPr>
              <w:widowControl w:val="0"/>
              <w:jc w:val="center"/>
              <w:rPr>
                <w:rFonts w:ascii="Verdana" w:hAnsi="Verdana" w:cs="Tahoma"/>
                <w:sz w:val="16"/>
                <w:szCs w:val="16"/>
              </w:rPr>
            </w:pPr>
            <w:r w:rsidRPr="00360F70">
              <w:rPr>
                <w:rFonts w:ascii="Verdana" w:hAnsi="Verdana"/>
                <w:sz w:val="16"/>
              </w:rPr>
              <w:t>C</w:t>
            </w:r>
          </w:p>
        </w:tc>
        <w:tc>
          <w:tcPr>
            <w:tcW w:w="993" w:type="dxa"/>
            <w:tcMar>
              <w:top w:w="85" w:type="dxa"/>
              <w:bottom w:w="85" w:type="dxa"/>
            </w:tcMar>
          </w:tcPr>
          <w:p w:rsidR="00F81C3B" w:rsidRPr="00360F70" w:rsidRDefault="00F81C3B" w:rsidP="004E54A8">
            <w:pPr>
              <w:widowControl w:val="0"/>
              <w:jc w:val="center"/>
              <w:rPr>
                <w:rFonts w:ascii="Verdana" w:hAnsi="Verdana" w:cs="Tahoma"/>
                <w:sz w:val="16"/>
                <w:szCs w:val="16"/>
              </w:rPr>
            </w:pPr>
          </w:p>
          <w:p w:rsidR="00B86C6B" w:rsidRPr="00360F70" w:rsidRDefault="009A2121" w:rsidP="000C7703">
            <w:pPr>
              <w:widowControl w:val="0"/>
              <w:jc w:val="center"/>
              <w:rPr>
                <w:rFonts w:ascii="Verdana" w:hAnsi="Verdana" w:cs="Tahoma"/>
                <w:sz w:val="16"/>
                <w:szCs w:val="16"/>
              </w:rPr>
            </w:pPr>
            <w:r w:rsidRPr="00360F70">
              <w:rPr>
                <w:rFonts w:ascii="Verdana" w:hAnsi="Verdana"/>
                <w:sz w:val="16"/>
              </w:rPr>
              <w:t xml:space="preserve"> Liten</w:t>
            </w:r>
          </w:p>
        </w:tc>
        <w:tc>
          <w:tcPr>
            <w:tcW w:w="1418" w:type="dxa"/>
            <w:tcMar>
              <w:top w:w="85" w:type="dxa"/>
              <w:bottom w:w="85" w:type="dxa"/>
            </w:tcMar>
          </w:tcPr>
          <w:p w:rsidR="00F81C3B" w:rsidRPr="00360F70" w:rsidRDefault="00F81C3B" w:rsidP="004E54A8">
            <w:pPr>
              <w:widowControl w:val="0"/>
              <w:jc w:val="center"/>
              <w:rPr>
                <w:rFonts w:ascii="Verdana" w:hAnsi="Verdana" w:cs="Tahoma"/>
                <w:sz w:val="16"/>
                <w:szCs w:val="16"/>
              </w:rPr>
            </w:pPr>
          </w:p>
          <w:p w:rsidR="00B86C6B" w:rsidRPr="00360F70" w:rsidRDefault="00B86C6B" w:rsidP="004E54A8">
            <w:pPr>
              <w:widowControl w:val="0"/>
              <w:jc w:val="center"/>
              <w:rPr>
                <w:rFonts w:ascii="Verdana" w:hAnsi="Verdana" w:cs="Tahoma"/>
                <w:sz w:val="16"/>
                <w:szCs w:val="16"/>
              </w:rPr>
            </w:pPr>
            <w:r w:rsidRPr="00360F70">
              <w:rPr>
                <w:rFonts w:ascii="Verdana" w:hAnsi="Verdana"/>
                <w:sz w:val="16"/>
              </w:rPr>
              <w:t>Stor</w:t>
            </w:r>
          </w:p>
        </w:tc>
        <w:tc>
          <w:tcPr>
            <w:tcW w:w="850" w:type="dxa"/>
            <w:shd w:val="clear" w:color="auto" w:fill="FFC000"/>
            <w:tcMar>
              <w:top w:w="85" w:type="dxa"/>
              <w:bottom w:w="85" w:type="dxa"/>
            </w:tcMar>
          </w:tcPr>
          <w:p w:rsidR="00F81C3B" w:rsidRPr="00360F70" w:rsidRDefault="00F81C3B" w:rsidP="004E54A8">
            <w:pPr>
              <w:widowControl w:val="0"/>
              <w:jc w:val="center"/>
              <w:rPr>
                <w:rFonts w:ascii="Verdana" w:hAnsi="Verdana" w:cs="Tahoma"/>
                <w:sz w:val="16"/>
                <w:szCs w:val="16"/>
              </w:rPr>
            </w:pPr>
          </w:p>
          <w:p w:rsidR="00B86C6B" w:rsidRPr="00360F70" w:rsidRDefault="009A2121" w:rsidP="004E54A8">
            <w:pPr>
              <w:widowControl w:val="0"/>
              <w:jc w:val="center"/>
              <w:rPr>
                <w:rFonts w:ascii="Verdana" w:hAnsi="Verdana" w:cs="Tahoma"/>
                <w:sz w:val="16"/>
                <w:szCs w:val="16"/>
              </w:rPr>
            </w:pPr>
            <w:r w:rsidRPr="00360F70">
              <w:rPr>
                <w:rFonts w:ascii="Verdana" w:hAnsi="Verdana"/>
                <w:sz w:val="16"/>
              </w:rPr>
              <w:t xml:space="preserve"> 3 </w:t>
            </w:r>
          </w:p>
        </w:tc>
        <w:tc>
          <w:tcPr>
            <w:tcW w:w="2410" w:type="dxa"/>
            <w:tcMar>
              <w:top w:w="85" w:type="dxa"/>
              <w:bottom w:w="85" w:type="dxa"/>
            </w:tcMar>
          </w:tcPr>
          <w:p w:rsidR="00F81C3B" w:rsidRPr="00360F70" w:rsidRDefault="00F81C3B" w:rsidP="005E640C">
            <w:pPr>
              <w:widowControl w:val="0"/>
              <w:rPr>
                <w:rFonts w:ascii="Verdana" w:hAnsi="Verdana" w:cs="Tahoma"/>
                <w:sz w:val="16"/>
                <w:szCs w:val="16"/>
              </w:rPr>
            </w:pPr>
          </w:p>
          <w:p w:rsidR="00B86C6B" w:rsidRPr="00360F70" w:rsidRDefault="00B86C6B" w:rsidP="005E640C">
            <w:pPr>
              <w:widowControl w:val="0"/>
              <w:rPr>
                <w:rFonts w:ascii="Verdana" w:hAnsi="Verdana" w:cs="Tahoma"/>
                <w:sz w:val="16"/>
                <w:szCs w:val="16"/>
              </w:rPr>
            </w:pPr>
            <w:r w:rsidRPr="00360F70">
              <w:rPr>
                <w:rFonts w:ascii="Verdana" w:hAnsi="Verdana"/>
                <w:sz w:val="16"/>
              </w:rPr>
              <w:t>Separation av biodiesel från samprodukter – fas 1</w:t>
            </w:r>
          </w:p>
        </w:tc>
        <w:tc>
          <w:tcPr>
            <w:tcW w:w="2268" w:type="dxa"/>
            <w:tcMar>
              <w:top w:w="85" w:type="dxa"/>
              <w:bottom w:w="85" w:type="dxa"/>
            </w:tcMar>
          </w:tcPr>
          <w:p w:rsidR="00B86C6B" w:rsidRPr="00360F70" w:rsidRDefault="00AB5105" w:rsidP="009A2121">
            <w:pPr>
              <w:widowControl w:val="0"/>
              <w:rPr>
                <w:rFonts w:ascii="Verdana" w:hAnsi="Verdana" w:cs="Tahoma"/>
                <w:sz w:val="16"/>
                <w:szCs w:val="16"/>
              </w:rPr>
            </w:pPr>
            <w:r w:rsidRPr="00360F70">
              <w:rPr>
                <w:rFonts w:ascii="Verdana" w:hAnsi="Verdana"/>
                <w:sz w:val="16"/>
              </w:rPr>
              <w:t xml:space="preserve">I förordning (EU) nr 68/2013 anges följande: kan innehålla upp till 4 % organiskt material som ej är glycerin (MONG) som omfattar metylestrar av fettsyror, etylestrar av fettsyror, fria fettsyror och </w:t>
            </w:r>
            <w:proofErr w:type="spellStart"/>
            <w:r w:rsidRPr="00360F70">
              <w:rPr>
                <w:rFonts w:ascii="Verdana" w:hAnsi="Verdana"/>
                <w:sz w:val="16"/>
              </w:rPr>
              <w:t>glycerider</w:t>
            </w:r>
            <w:proofErr w:type="spellEnd"/>
            <w:r w:rsidRPr="00360F70">
              <w:rPr>
                <w:rFonts w:ascii="Verdana" w:hAnsi="Verdana"/>
                <w:sz w:val="16"/>
              </w:rPr>
              <w:t>.</w:t>
            </w:r>
          </w:p>
        </w:tc>
        <w:tc>
          <w:tcPr>
            <w:tcW w:w="2126" w:type="dxa"/>
            <w:tcMar>
              <w:top w:w="85" w:type="dxa"/>
              <w:bottom w:w="85" w:type="dxa"/>
            </w:tcMar>
          </w:tcPr>
          <w:p w:rsidR="00F81C3B" w:rsidRPr="00360F70" w:rsidRDefault="00F81C3B" w:rsidP="004E54A8">
            <w:pPr>
              <w:rPr>
                <w:rFonts w:ascii="Verdana" w:hAnsi="Verdana" w:cs="Tahoma"/>
                <w:sz w:val="16"/>
                <w:szCs w:val="16"/>
              </w:rPr>
            </w:pPr>
          </w:p>
          <w:p w:rsidR="00B86C6B" w:rsidRPr="00360F70" w:rsidRDefault="00B86C6B" w:rsidP="004E54A8">
            <w:pPr>
              <w:rPr>
                <w:rFonts w:ascii="Verdana" w:hAnsi="Verdana" w:cs="Tahoma"/>
                <w:sz w:val="16"/>
                <w:szCs w:val="16"/>
              </w:rPr>
            </w:pPr>
            <w:r w:rsidRPr="00360F70">
              <w:rPr>
                <w:rFonts w:ascii="Verdana" w:hAnsi="Verdana"/>
                <w:sz w:val="16"/>
              </w:rPr>
              <w:t>Övervakningsplan och uppföljning av processen</w:t>
            </w:r>
          </w:p>
        </w:tc>
        <w:tc>
          <w:tcPr>
            <w:tcW w:w="1985" w:type="dxa"/>
            <w:tcMar>
              <w:top w:w="85" w:type="dxa"/>
              <w:bottom w:w="85" w:type="dxa"/>
            </w:tcMar>
          </w:tcPr>
          <w:p w:rsidR="00B86C6B" w:rsidRPr="00360F70" w:rsidRDefault="00B86C6B" w:rsidP="004E54A8">
            <w:pPr>
              <w:widowControl w:val="0"/>
              <w:rPr>
                <w:rFonts w:ascii="Verdana" w:hAnsi="Verdana" w:cs="Tahoma"/>
                <w:sz w:val="16"/>
                <w:szCs w:val="16"/>
              </w:rPr>
            </w:pPr>
          </w:p>
        </w:tc>
      </w:tr>
      <w:tr w:rsidR="009A2121" w:rsidRPr="00360F70" w:rsidTr="000C7703">
        <w:trPr>
          <w:trHeight w:val="357"/>
        </w:trPr>
        <w:tc>
          <w:tcPr>
            <w:tcW w:w="1875" w:type="dxa"/>
            <w:tcBorders>
              <w:bottom w:val="single" w:sz="4" w:space="0" w:color="auto"/>
            </w:tcBorders>
            <w:tcMar>
              <w:top w:w="85" w:type="dxa"/>
              <w:bottom w:w="85" w:type="dxa"/>
            </w:tcMar>
          </w:tcPr>
          <w:p w:rsidR="009A2121" w:rsidRPr="00360F70" w:rsidRDefault="009A2121" w:rsidP="004E54A8">
            <w:pPr>
              <w:widowControl w:val="0"/>
              <w:rPr>
                <w:rFonts w:ascii="Verdana" w:hAnsi="Verdana" w:cs="Tahoma"/>
                <w:b/>
                <w:bCs/>
                <w:sz w:val="16"/>
                <w:szCs w:val="16"/>
              </w:rPr>
            </w:pPr>
            <w:r w:rsidRPr="00360F70">
              <w:rPr>
                <w:rFonts w:ascii="Verdana" w:hAnsi="Verdana"/>
                <w:b/>
                <w:sz w:val="16"/>
              </w:rPr>
              <w:t>Metanol i rå glycerin</w:t>
            </w:r>
          </w:p>
        </w:tc>
        <w:tc>
          <w:tcPr>
            <w:tcW w:w="642" w:type="dxa"/>
            <w:tcBorders>
              <w:bottom w:val="single" w:sz="4" w:space="0" w:color="auto"/>
            </w:tcBorders>
            <w:tcMar>
              <w:top w:w="85" w:type="dxa"/>
              <w:bottom w:w="85" w:type="dxa"/>
            </w:tcMar>
          </w:tcPr>
          <w:p w:rsidR="009A2121" w:rsidRPr="00360F70" w:rsidRDefault="000C7703" w:rsidP="004E54A8">
            <w:pPr>
              <w:widowControl w:val="0"/>
              <w:jc w:val="center"/>
              <w:rPr>
                <w:rFonts w:ascii="Verdana" w:hAnsi="Verdana" w:cs="Tahoma"/>
                <w:sz w:val="16"/>
                <w:szCs w:val="16"/>
              </w:rPr>
            </w:pPr>
            <w:r w:rsidRPr="00360F70">
              <w:rPr>
                <w:rFonts w:ascii="Verdana" w:hAnsi="Verdana"/>
                <w:sz w:val="16"/>
              </w:rPr>
              <w:t>C</w:t>
            </w:r>
          </w:p>
        </w:tc>
        <w:tc>
          <w:tcPr>
            <w:tcW w:w="993" w:type="dxa"/>
            <w:tcBorders>
              <w:bottom w:val="single" w:sz="4" w:space="0" w:color="auto"/>
            </w:tcBorders>
            <w:tcMar>
              <w:top w:w="85" w:type="dxa"/>
              <w:bottom w:w="85" w:type="dxa"/>
            </w:tcMar>
          </w:tcPr>
          <w:p w:rsidR="009A2121" w:rsidRPr="00360F70" w:rsidRDefault="000C7703" w:rsidP="004E54A8">
            <w:pPr>
              <w:widowControl w:val="0"/>
              <w:jc w:val="center"/>
              <w:rPr>
                <w:rFonts w:ascii="Verdana" w:hAnsi="Verdana" w:cs="Tahoma"/>
                <w:sz w:val="16"/>
                <w:szCs w:val="16"/>
              </w:rPr>
            </w:pPr>
            <w:r w:rsidRPr="00360F70">
              <w:rPr>
                <w:rFonts w:ascii="Verdana" w:hAnsi="Verdana"/>
                <w:sz w:val="16"/>
              </w:rPr>
              <w:t>Måttlig</w:t>
            </w:r>
          </w:p>
        </w:tc>
        <w:tc>
          <w:tcPr>
            <w:tcW w:w="1418" w:type="dxa"/>
            <w:tcBorders>
              <w:bottom w:val="single" w:sz="4" w:space="0" w:color="auto"/>
            </w:tcBorders>
            <w:tcMar>
              <w:top w:w="85" w:type="dxa"/>
              <w:bottom w:w="85" w:type="dxa"/>
            </w:tcMar>
          </w:tcPr>
          <w:p w:rsidR="009A2121" w:rsidRPr="00360F70" w:rsidRDefault="000C7703" w:rsidP="004E54A8">
            <w:pPr>
              <w:widowControl w:val="0"/>
              <w:jc w:val="center"/>
              <w:rPr>
                <w:rFonts w:ascii="Verdana" w:hAnsi="Verdana" w:cs="Tahoma"/>
                <w:sz w:val="16"/>
                <w:szCs w:val="16"/>
              </w:rPr>
            </w:pPr>
            <w:r w:rsidRPr="00360F70">
              <w:rPr>
                <w:rFonts w:ascii="Verdana" w:hAnsi="Verdana"/>
                <w:sz w:val="16"/>
              </w:rPr>
              <w:t>Stor</w:t>
            </w:r>
          </w:p>
        </w:tc>
        <w:tc>
          <w:tcPr>
            <w:tcW w:w="850" w:type="dxa"/>
            <w:tcBorders>
              <w:bottom w:val="single" w:sz="4" w:space="0" w:color="auto"/>
            </w:tcBorders>
            <w:shd w:val="clear" w:color="auto" w:fill="FF0000"/>
            <w:tcMar>
              <w:top w:w="85" w:type="dxa"/>
              <w:bottom w:w="85" w:type="dxa"/>
            </w:tcMar>
          </w:tcPr>
          <w:p w:rsidR="009A2121" w:rsidRPr="00360F70" w:rsidRDefault="000C7703" w:rsidP="004E54A8">
            <w:pPr>
              <w:widowControl w:val="0"/>
              <w:jc w:val="center"/>
              <w:rPr>
                <w:rFonts w:ascii="Verdana" w:hAnsi="Verdana" w:cs="Tahoma"/>
                <w:sz w:val="16"/>
                <w:szCs w:val="16"/>
              </w:rPr>
            </w:pPr>
            <w:r w:rsidRPr="00360F70">
              <w:rPr>
                <w:rFonts w:ascii="Verdana" w:hAnsi="Verdana"/>
                <w:sz w:val="16"/>
              </w:rPr>
              <w:t>4</w:t>
            </w:r>
          </w:p>
        </w:tc>
        <w:tc>
          <w:tcPr>
            <w:tcW w:w="2410" w:type="dxa"/>
            <w:tcBorders>
              <w:bottom w:val="single" w:sz="4" w:space="0" w:color="auto"/>
            </w:tcBorders>
            <w:tcMar>
              <w:top w:w="85" w:type="dxa"/>
              <w:bottom w:w="85" w:type="dxa"/>
            </w:tcMar>
          </w:tcPr>
          <w:p w:rsidR="009A2121" w:rsidRPr="00360F70" w:rsidRDefault="009A2121" w:rsidP="005E640C">
            <w:pPr>
              <w:widowControl w:val="0"/>
              <w:rPr>
                <w:rFonts w:ascii="Verdana" w:hAnsi="Verdana" w:cs="Tahoma"/>
                <w:sz w:val="16"/>
                <w:szCs w:val="16"/>
              </w:rPr>
            </w:pPr>
          </w:p>
        </w:tc>
        <w:tc>
          <w:tcPr>
            <w:tcW w:w="2268" w:type="dxa"/>
            <w:tcBorders>
              <w:bottom w:val="single" w:sz="4" w:space="0" w:color="auto"/>
            </w:tcBorders>
            <w:tcMar>
              <w:top w:w="85" w:type="dxa"/>
              <w:bottom w:w="85" w:type="dxa"/>
            </w:tcMar>
          </w:tcPr>
          <w:p w:rsidR="009A2121" w:rsidRPr="00360F70" w:rsidRDefault="004C758F" w:rsidP="009A2121">
            <w:pPr>
              <w:widowControl w:val="0"/>
              <w:rPr>
                <w:rFonts w:ascii="Verdana" w:hAnsi="Verdana" w:cs="Tahoma"/>
                <w:sz w:val="16"/>
                <w:szCs w:val="16"/>
              </w:rPr>
            </w:pPr>
            <w:r w:rsidRPr="00360F70">
              <w:rPr>
                <w:rFonts w:ascii="Verdana" w:hAnsi="Verdana"/>
                <w:sz w:val="16"/>
              </w:rPr>
              <w:t>I förordning (EU) nr 68/2013 anges följande: Kan innehålla upp till 0,5 % metanol</w:t>
            </w:r>
          </w:p>
        </w:tc>
        <w:tc>
          <w:tcPr>
            <w:tcW w:w="2126" w:type="dxa"/>
            <w:tcBorders>
              <w:bottom w:val="single" w:sz="4" w:space="0" w:color="auto"/>
            </w:tcBorders>
            <w:tcMar>
              <w:top w:w="85" w:type="dxa"/>
              <w:bottom w:w="85" w:type="dxa"/>
            </w:tcMar>
          </w:tcPr>
          <w:p w:rsidR="009A2121" w:rsidRPr="00360F70" w:rsidRDefault="000C7703" w:rsidP="00974AB8">
            <w:pPr>
              <w:rPr>
                <w:rFonts w:ascii="Verdana" w:hAnsi="Verdana" w:cs="Tahoma"/>
                <w:sz w:val="16"/>
                <w:szCs w:val="16"/>
              </w:rPr>
            </w:pPr>
            <w:r w:rsidRPr="00360F70">
              <w:rPr>
                <w:rFonts w:ascii="Verdana" w:hAnsi="Verdana"/>
                <w:sz w:val="16"/>
              </w:rPr>
              <w:t>Kontroll av processparametrar</w:t>
            </w:r>
          </w:p>
        </w:tc>
        <w:tc>
          <w:tcPr>
            <w:tcW w:w="1985" w:type="dxa"/>
            <w:tcBorders>
              <w:bottom w:val="single" w:sz="4" w:space="0" w:color="auto"/>
            </w:tcBorders>
            <w:tcMar>
              <w:top w:w="85" w:type="dxa"/>
              <w:bottom w:w="85" w:type="dxa"/>
            </w:tcMar>
          </w:tcPr>
          <w:p w:rsidR="009A2121" w:rsidRPr="00360F70" w:rsidRDefault="009A2121" w:rsidP="004E54A8">
            <w:pPr>
              <w:widowControl w:val="0"/>
              <w:rPr>
                <w:rFonts w:ascii="Verdana" w:hAnsi="Verdana" w:cs="Tahoma"/>
                <w:sz w:val="16"/>
                <w:szCs w:val="16"/>
              </w:rPr>
            </w:pPr>
          </w:p>
        </w:tc>
      </w:tr>
    </w:tbl>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r w:rsidRPr="00360F70">
        <w:br w:type="page"/>
      </w:r>
    </w:p>
    <w:p w:rsidR="004E54A8" w:rsidRPr="00360F70"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972"/>
        <w:gridCol w:w="1418"/>
        <w:gridCol w:w="850"/>
        <w:gridCol w:w="2301"/>
        <w:gridCol w:w="1952"/>
        <w:gridCol w:w="1984"/>
        <w:gridCol w:w="2675"/>
        <w:gridCol w:w="19"/>
      </w:tblGrid>
      <w:tr w:rsidR="00C724B8" w:rsidRPr="00360F70" w:rsidTr="003E010C">
        <w:trPr>
          <w:gridAfter w:val="1"/>
          <w:wAfter w:w="19" w:type="dxa"/>
          <w:trHeight w:val="700"/>
        </w:trPr>
        <w:tc>
          <w:tcPr>
            <w:tcW w:w="4928" w:type="dxa"/>
            <w:gridSpan w:val="4"/>
            <w:tcBorders>
              <w:bottom w:val="single" w:sz="4" w:space="0" w:color="auto"/>
            </w:tcBorders>
            <w:shd w:val="clear" w:color="auto" w:fill="0DA72A"/>
            <w:tcMar>
              <w:top w:w="57" w:type="dxa"/>
              <w:bottom w:w="57" w:type="dxa"/>
            </w:tcMar>
            <w:vAlign w:val="center"/>
          </w:tcPr>
          <w:p w:rsidR="00C724B8" w:rsidRPr="00360F70" w:rsidRDefault="00E80F73" w:rsidP="00C724B8">
            <w:pPr>
              <w:widowControl w:val="0"/>
              <w:spacing w:before="20" w:after="20"/>
              <w:ind w:left="85" w:right="85"/>
              <w:rPr>
                <w:rFonts w:ascii="Verdana" w:hAnsi="Verdana"/>
                <w:b/>
                <w:color w:val="FFFFFF"/>
                <w:sz w:val="32"/>
                <w:szCs w:val="32"/>
              </w:rPr>
            </w:pPr>
            <w:r w:rsidRPr="00360F70">
              <w:rPr>
                <w:rFonts w:ascii="Verdana" w:hAnsi="Verdana"/>
                <w:b/>
                <w:color w:val="FFFFFF"/>
                <w:sz w:val="32"/>
              </w:rPr>
              <w:t>8. Riskbaserad strategi för glycerin</w:t>
            </w:r>
          </w:p>
          <w:p w:rsidR="00C724B8" w:rsidRPr="00360F70" w:rsidRDefault="00C724B8" w:rsidP="004E54A8">
            <w:pPr>
              <w:widowControl w:val="0"/>
              <w:spacing w:before="20" w:after="20"/>
              <w:jc w:val="right"/>
              <w:rPr>
                <w:rFonts w:ascii="Verdana" w:hAnsi="Verdana" w:cs="Tahoma"/>
                <w:b/>
                <w:bCs/>
                <w:color w:val="FFFFFF"/>
                <w:sz w:val="28"/>
                <w:szCs w:val="28"/>
              </w:rPr>
            </w:pPr>
          </w:p>
        </w:tc>
        <w:tc>
          <w:tcPr>
            <w:tcW w:w="9762" w:type="dxa"/>
            <w:gridSpan w:val="5"/>
            <w:tcBorders>
              <w:left w:val="nil"/>
              <w:bottom w:val="single" w:sz="4" w:space="0" w:color="auto"/>
            </w:tcBorders>
            <w:shd w:val="clear" w:color="auto" w:fill="0DA72A"/>
            <w:tcMar>
              <w:top w:w="57" w:type="dxa"/>
              <w:bottom w:w="57" w:type="dxa"/>
            </w:tcMar>
            <w:vAlign w:val="center"/>
          </w:tcPr>
          <w:p w:rsidR="00C724B8" w:rsidRPr="00360F70" w:rsidRDefault="00B87D01" w:rsidP="00AE2E62">
            <w:pPr>
              <w:widowControl w:val="0"/>
              <w:rPr>
                <w:rFonts w:ascii="Verdana" w:hAnsi="Verdana" w:cs="Tahoma"/>
                <w:b/>
                <w:color w:val="FFFFFF"/>
                <w:sz w:val="28"/>
                <w:szCs w:val="28"/>
              </w:rPr>
            </w:pPr>
            <w:r w:rsidRPr="00360F70">
              <w:rPr>
                <w:rFonts w:ascii="Verdana" w:hAnsi="Verdana"/>
                <w:b/>
                <w:color w:val="FFFFFF"/>
                <w:sz w:val="28"/>
              </w:rPr>
              <w:t xml:space="preserve">6. Fas 3 av 3 – </w:t>
            </w:r>
            <w:proofErr w:type="spellStart"/>
            <w:r w:rsidRPr="00360F70">
              <w:rPr>
                <w:rFonts w:ascii="Verdana" w:hAnsi="Verdana"/>
                <w:b/>
                <w:color w:val="FFFFFF"/>
                <w:sz w:val="28"/>
              </w:rPr>
              <w:t>Syrabehandling</w:t>
            </w:r>
            <w:proofErr w:type="spellEnd"/>
            <w:r w:rsidRPr="00360F70">
              <w:rPr>
                <w:rFonts w:ascii="Verdana" w:hAnsi="Verdana"/>
                <w:b/>
                <w:color w:val="FFFFFF"/>
                <w:sz w:val="28"/>
              </w:rPr>
              <w:t xml:space="preserve"> och separation av fria fettsyror</w:t>
            </w:r>
          </w:p>
        </w:tc>
      </w:tr>
      <w:tr w:rsidR="00B86C6B" w:rsidRPr="00360F70" w:rsidTr="00F029E4">
        <w:trPr>
          <w:trHeight w:val="813"/>
        </w:trPr>
        <w:tc>
          <w:tcPr>
            <w:tcW w:w="1890"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48"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972"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8"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850"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301"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1952" w:type="dxa"/>
            <w:tcBorders>
              <w:bottom w:val="single" w:sz="4" w:space="0" w:color="auto"/>
            </w:tcBorders>
            <w:shd w:val="clear" w:color="auto" w:fill="0DA72A"/>
            <w:tcMar>
              <w:top w:w="28" w:type="dxa"/>
              <w:bottom w:w="28" w:type="dxa"/>
            </w:tcMar>
            <w:vAlign w:val="center"/>
          </w:tcPr>
          <w:p w:rsidR="00B86C6B" w:rsidRPr="00360F70" w:rsidRDefault="00B86C6B" w:rsidP="00957197">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w:t>
            </w:r>
          </w:p>
        </w:tc>
        <w:tc>
          <w:tcPr>
            <w:tcW w:w="1984"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2694" w:type="dxa"/>
            <w:gridSpan w:val="2"/>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B86C6B" w:rsidRPr="00360F70" w:rsidTr="00F029E4">
        <w:trPr>
          <w:trHeight w:val="1035"/>
        </w:trPr>
        <w:tc>
          <w:tcPr>
            <w:tcW w:w="1890" w:type="dxa"/>
            <w:tcBorders>
              <w:bottom w:val="single" w:sz="4" w:space="0" w:color="auto"/>
            </w:tcBorders>
            <w:tcMar>
              <w:top w:w="85" w:type="dxa"/>
              <w:bottom w:w="85" w:type="dxa"/>
            </w:tcMar>
          </w:tcPr>
          <w:p w:rsidR="00B86C6B" w:rsidRPr="00360F70" w:rsidRDefault="004C758F" w:rsidP="004E54A8">
            <w:pPr>
              <w:widowControl w:val="0"/>
              <w:rPr>
                <w:rFonts w:ascii="Verdana" w:hAnsi="Verdana" w:cs="Tahoma"/>
                <w:b/>
                <w:bCs/>
                <w:sz w:val="16"/>
                <w:szCs w:val="16"/>
              </w:rPr>
            </w:pPr>
            <w:r w:rsidRPr="00360F70">
              <w:rPr>
                <w:rFonts w:ascii="Verdana" w:hAnsi="Verdana"/>
                <w:b/>
                <w:sz w:val="16"/>
              </w:rPr>
              <w:t>Främmande ämnen i processhjälpmedel</w:t>
            </w:r>
            <w:r w:rsidR="00360F70">
              <w:rPr>
                <w:rFonts w:ascii="Verdana" w:hAnsi="Verdana"/>
                <w:b/>
                <w:sz w:val="16"/>
              </w:rPr>
              <w:t xml:space="preserve"> </w:t>
            </w:r>
          </w:p>
          <w:p w:rsidR="00B86C6B" w:rsidRPr="00360F70" w:rsidRDefault="00B86C6B" w:rsidP="004E54A8">
            <w:pPr>
              <w:widowControl w:val="0"/>
              <w:rPr>
                <w:rFonts w:ascii="Verdana" w:hAnsi="Verdana" w:cs="Tahoma"/>
                <w:b/>
                <w:bCs/>
                <w:sz w:val="16"/>
                <w:szCs w:val="16"/>
              </w:rPr>
            </w:pPr>
            <w:r w:rsidRPr="00360F70">
              <w:rPr>
                <w:rFonts w:ascii="Verdana" w:hAnsi="Verdana"/>
                <w:b/>
                <w:sz w:val="16"/>
              </w:rPr>
              <w:t>(alkaliska lösningar, syror)</w:t>
            </w:r>
          </w:p>
        </w:tc>
        <w:tc>
          <w:tcPr>
            <w:tcW w:w="648" w:type="dxa"/>
            <w:tcBorders>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972" w:type="dxa"/>
            <w:tcBorders>
              <w:bottom w:val="single" w:sz="4" w:space="0" w:color="auto"/>
            </w:tcBorders>
            <w:tcMar>
              <w:top w:w="85" w:type="dxa"/>
              <w:bottom w:w="85" w:type="dxa"/>
            </w:tcMar>
          </w:tcPr>
          <w:p w:rsidR="00B86C6B" w:rsidRPr="00360F70" w:rsidRDefault="00B86C6B" w:rsidP="00FF185B">
            <w:pPr>
              <w:widowControl w:val="0"/>
              <w:jc w:val="center"/>
              <w:rPr>
                <w:rFonts w:ascii="Verdana" w:hAnsi="Verdana" w:cs="Tahoma"/>
                <w:sz w:val="16"/>
                <w:szCs w:val="16"/>
              </w:rPr>
            </w:pPr>
            <w:r w:rsidRPr="00360F70">
              <w:rPr>
                <w:rFonts w:ascii="Verdana" w:hAnsi="Verdana"/>
                <w:sz w:val="16"/>
              </w:rPr>
              <w:t xml:space="preserve"> Liten</w:t>
            </w:r>
          </w:p>
        </w:tc>
        <w:tc>
          <w:tcPr>
            <w:tcW w:w="1418" w:type="dxa"/>
            <w:tcBorders>
              <w:bottom w:val="single" w:sz="4" w:space="0" w:color="auto"/>
            </w:tcBorders>
            <w:tcMar>
              <w:top w:w="85" w:type="dxa"/>
              <w:bottom w:w="85" w:type="dxa"/>
            </w:tcMar>
          </w:tcPr>
          <w:p w:rsidR="00B86C6B" w:rsidRPr="00360F70" w:rsidRDefault="00B86C6B" w:rsidP="00FF185B">
            <w:pPr>
              <w:widowControl w:val="0"/>
              <w:jc w:val="center"/>
              <w:rPr>
                <w:rFonts w:ascii="Verdana" w:hAnsi="Verdana" w:cs="Tahoma"/>
                <w:sz w:val="16"/>
                <w:szCs w:val="16"/>
              </w:rPr>
            </w:pPr>
            <w:r w:rsidRPr="00360F70">
              <w:rPr>
                <w:rFonts w:ascii="Verdana" w:hAnsi="Verdana"/>
                <w:sz w:val="16"/>
              </w:rPr>
              <w:t xml:space="preserve"> Stor</w:t>
            </w:r>
          </w:p>
        </w:tc>
        <w:tc>
          <w:tcPr>
            <w:tcW w:w="850" w:type="dxa"/>
            <w:tcBorders>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301"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Processhjälpmedel kommer i kontakt med produkten.</w:t>
            </w:r>
          </w:p>
          <w:p w:rsidR="00B86C6B" w:rsidRPr="00360F70" w:rsidRDefault="00B86C6B" w:rsidP="004E54A8">
            <w:pPr>
              <w:widowControl w:val="0"/>
              <w:rPr>
                <w:rFonts w:ascii="Verdana" w:hAnsi="Verdana" w:cs="Tahoma"/>
                <w:sz w:val="16"/>
                <w:szCs w:val="16"/>
              </w:rPr>
            </w:pPr>
          </w:p>
          <w:p w:rsidR="00B86C6B" w:rsidRPr="00360F70" w:rsidRDefault="00B86C6B" w:rsidP="004E54A8">
            <w:pPr>
              <w:widowControl w:val="0"/>
              <w:rPr>
                <w:rFonts w:ascii="Verdana" w:hAnsi="Verdana" w:cs="Tahoma"/>
                <w:sz w:val="16"/>
                <w:szCs w:val="16"/>
              </w:rPr>
            </w:pPr>
            <w:r w:rsidRPr="00360F70">
              <w:rPr>
                <w:rFonts w:ascii="Verdana" w:hAnsi="Verdana"/>
                <w:sz w:val="16"/>
              </w:rPr>
              <w:t>Risk för överdosering.</w:t>
            </w:r>
          </w:p>
          <w:p w:rsidR="00B86C6B" w:rsidRPr="00360F70" w:rsidRDefault="00B86C6B" w:rsidP="004E54A8">
            <w:pPr>
              <w:widowControl w:val="0"/>
              <w:rPr>
                <w:rFonts w:ascii="Verdana" w:hAnsi="Verdana" w:cs="Tahoma"/>
                <w:sz w:val="16"/>
                <w:szCs w:val="16"/>
              </w:rPr>
            </w:pPr>
          </w:p>
        </w:tc>
        <w:tc>
          <w:tcPr>
            <w:tcW w:w="1952" w:type="dxa"/>
            <w:tcBorders>
              <w:bottom w:val="single" w:sz="4" w:space="0" w:color="auto"/>
            </w:tcBorders>
            <w:tcMar>
              <w:top w:w="85" w:type="dxa"/>
              <w:bottom w:w="85" w:type="dxa"/>
            </w:tcMar>
          </w:tcPr>
          <w:p w:rsidR="00B86C6B" w:rsidRPr="00360F70" w:rsidRDefault="00B86C6B" w:rsidP="00621062">
            <w:pPr>
              <w:widowControl w:val="0"/>
              <w:rPr>
                <w:rFonts w:ascii="Verdana" w:hAnsi="Verdana" w:cs="Tahoma"/>
                <w:sz w:val="16"/>
                <w:szCs w:val="16"/>
              </w:rPr>
            </w:pPr>
            <w:r w:rsidRPr="00360F70">
              <w:rPr>
                <w:rFonts w:ascii="Verdana" w:hAnsi="Verdana"/>
                <w:sz w:val="16"/>
              </w:rPr>
              <w:t>I förordning (EU) nr 68/2013 anges högsta tillåtna halt av kemiska orenheter som härrör från framställnings</w:t>
            </w:r>
            <w:r w:rsidRPr="00360F70">
              <w:softHyphen/>
            </w:r>
            <w:r w:rsidRPr="00360F70">
              <w:rPr>
                <w:rFonts w:ascii="Verdana" w:hAnsi="Verdana"/>
                <w:sz w:val="16"/>
              </w:rPr>
              <w:t xml:space="preserve">processen eller från processhjälpmedel. </w:t>
            </w:r>
          </w:p>
          <w:p w:rsidR="00B86C6B" w:rsidRPr="00360F70" w:rsidRDefault="00B86C6B" w:rsidP="00621062">
            <w:pPr>
              <w:widowControl w:val="0"/>
              <w:rPr>
                <w:rFonts w:ascii="Verdana" w:hAnsi="Verdana" w:cs="Tahoma"/>
                <w:sz w:val="16"/>
                <w:szCs w:val="16"/>
              </w:rPr>
            </w:pPr>
          </w:p>
          <w:p w:rsidR="00B86C6B" w:rsidRPr="00360F70" w:rsidRDefault="00B86C6B" w:rsidP="00B11259">
            <w:pPr>
              <w:widowControl w:val="0"/>
              <w:rPr>
                <w:rFonts w:ascii="Verdana" w:hAnsi="Verdana" w:cs="Tahoma"/>
                <w:sz w:val="16"/>
                <w:szCs w:val="16"/>
              </w:rPr>
            </w:pPr>
          </w:p>
        </w:tc>
        <w:tc>
          <w:tcPr>
            <w:tcW w:w="1984"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Processhjälpmedel som kommer i direktkontakt med oljan ska utvärderas och lämpliga åtgärder ska vidtas för att minska risken till godtagbara nivåer.</w:t>
            </w:r>
          </w:p>
          <w:p w:rsidR="00B86C6B" w:rsidRPr="00360F70" w:rsidRDefault="00303AC4" w:rsidP="004E54A8">
            <w:pPr>
              <w:widowControl w:val="0"/>
              <w:rPr>
                <w:rFonts w:ascii="Verdana" w:hAnsi="Verdana" w:cs="Tahoma"/>
                <w:sz w:val="16"/>
                <w:szCs w:val="16"/>
              </w:rPr>
            </w:pPr>
            <w:r w:rsidRPr="00360F70">
              <w:rPr>
                <w:rFonts w:ascii="Verdana" w:hAnsi="Verdana"/>
                <w:sz w:val="16"/>
              </w:rPr>
              <w:t>Processövervakning ”</w:t>
            </w:r>
            <w:proofErr w:type="spellStart"/>
            <w:r w:rsidRPr="00360F70">
              <w:rPr>
                <w:rFonts w:ascii="Verdana" w:hAnsi="Verdana"/>
                <w:sz w:val="16"/>
              </w:rPr>
              <w:t>inline</w:t>
            </w:r>
            <w:proofErr w:type="spellEnd"/>
            <w:r w:rsidRPr="00360F70">
              <w:rPr>
                <w:rFonts w:ascii="Verdana" w:hAnsi="Verdana"/>
                <w:sz w:val="16"/>
              </w:rPr>
              <w:t>” (förbrukningsnivåer).</w:t>
            </w:r>
          </w:p>
        </w:tc>
        <w:tc>
          <w:tcPr>
            <w:tcW w:w="2694" w:type="dxa"/>
            <w:gridSpan w:val="2"/>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F029E4">
        <w:trPr>
          <w:trHeight w:val="1020"/>
        </w:trPr>
        <w:tc>
          <w:tcPr>
            <w:tcW w:w="1890" w:type="dxa"/>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b/>
                <w:sz w:val="16"/>
              </w:rPr>
              <w:t>Rester av bekämpnings</w:t>
            </w:r>
            <w:r w:rsidRPr="00360F70">
              <w:softHyphen/>
            </w:r>
            <w:r w:rsidRPr="00360F70">
              <w:rPr>
                <w:rFonts w:ascii="Verdana" w:hAnsi="Verdana"/>
                <w:b/>
                <w:sz w:val="16"/>
              </w:rPr>
              <w:t>medel över gränsvärdet, dvs. MRL-överstigande rester av medel mot ogräs, insekter, svamp eller gnagare.</w:t>
            </w:r>
          </w:p>
        </w:tc>
        <w:tc>
          <w:tcPr>
            <w:tcW w:w="648" w:type="dxa"/>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972" w:type="dxa"/>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8" w:type="dxa"/>
            <w:tcMar>
              <w:top w:w="85" w:type="dxa"/>
              <w:bottom w:w="85" w:type="dxa"/>
            </w:tcMar>
          </w:tcPr>
          <w:p w:rsidR="00B86C6B" w:rsidRPr="00360F70" w:rsidRDefault="00FF185B" w:rsidP="008C7C3E">
            <w:pPr>
              <w:widowControl w:val="0"/>
              <w:jc w:val="center"/>
              <w:rPr>
                <w:rFonts w:ascii="Verdana" w:hAnsi="Verdana" w:cs="Tahoma"/>
                <w:sz w:val="16"/>
                <w:szCs w:val="16"/>
              </w:rPr>
            </w:pPr>
            <w:r w:rsidRPr="00360F70">
              <w:rPr>
                <w:rFonts w:ascii="Verdana" w:hAnsi="Verdana"/>
                <w:sz w:val="16"/>
              </w:rPr>
              <w:t>Liten</w:t>
            </w:r>
          </w:p>
        </w:tc>
        <w:tc>
          <w:tcPr>
            <w:tcW w:w="850" w:type="dxa"/>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1</w:t>
            </w:r>
          </w:p>
        </w:tc>
        <w:tc>
          <w:tcPr>
            <w:tcW w:w="2301" w:type="dxa"/>
            <w:tcMar>
              <w:top w:w="85" w:type="dxa"/>
              <w:bottom w:w="85" w:type="dxa"/>
            </w:tcMar>
          </w:tcPr>
          <w:p w:rsidR="00B86C6B" w:rsidRPr="00360F70" w:rsidRDefault="00B86C6B" w:rsidP="008C7C3E">
            <w:pPr>
              <w:widowControl w:val="0"/>
              <w:rPr>
                <w:rFonts w:ascii="Verdana" w:hAnsi="Verdana" w:cs="Tahoma"/>
                <w:iCs/>
                <w:sz w:val="16"/>
                <w:szCs w:val="16"/>
              </w:rPr>
            </w:pPr>
            <w:r w:rsidRPr="00360F70">
              <w:rPr>
                <w:rFonts w:ascii="Verdana" w:hAnsi="Verdana"/>
                <w:sz w:val="16"/>
              </w:rPr>
              <w:t>Regelbunden övervakning av bekämpningsmedels</w:t>
            </w:r>
            <w:r w:rsidRPr="00360F70">
              <w:softHyphen/>
            </w:r>
            <w:r w:rsidRPr="00360F70">
              <w:rPr>
                <w:rFonts w:ascii="Verdana" w:hAnsi="Verdana"/>
                <w:sz w:val="16"/>
              </w:rPr>
              <w:t>rester visar att resthalterna inte överstiger den lagliga gränsen.</w:t>
            </w:r>
            <w:r w:rsidR="00360F70">
              <w:rPr>
                <w:rFonts w:ascii="Verdana" w:hAnsi="Verdana"/>
                <w:sz w:val="16"/>
              </w:rPr>
              <w:t xml:space="preserve"> </w:t>
            </w:r>
            <w:r w:rsidRPr="00360F70">
              <w:rPr>
                <w:rFonts w:ascii="Verdana" w:hAnsi="Verdana"/>
                <w:sz w:val="16"/>
              </w:rPr>
              <w:t>Bekämpningsmedel koncentreras inte i glycerinen</w:t>
            </w:r>
          </w:p>
        </w:tc>
        <w:tc>
          <w:tcPr>
            <w:tcW w:w="1952" w:type="dxa"/>
            <w:tcMar>
              <w:top w:w="85" w:type="dxa"/>
              <w:bottom w:w="85" w:type="dxa"/>
            </w:tcMar>
          </w:tcPr>
          <w:p w:rsidR="00B86C6B" w:rsidRPr="00360F70" w:rsidRDefault="00B86C6B" w:rsidP="00C724B8">
            <w:pPr>
              <w:widowControl w:val="0"/>
              <w:rPr>
                <w:rFonts w:ascii="Verdana" w:hAnsi="Verdana" w:cs="Tahoma"/>
                <w:iCs/>
                <w:sz w:val="16"/>
                <w:szCs w:val="16"/>
              </w:rPr>
            </w:pPr>
            <w:r w:rsidRPr="00360F70">
              <w:rPr>
                <w:rFonts w:ascii="Verdana" w:hAnsi="Verdana"/>
                <w:sz w:val="16"/>
              </w:rPr>
              <w:t>I förordning (EG) nr 396/2005 fastställs högsta tillåtna halter av bekämpningsmedels</w:t>
            </w:r>
            <w:r w:rsidRPr="00360F70">
              <w:softHyphen/>
            </w:r>
            <w:r w:rsidRPr="00360F70">
              <w:rPr>
                <w:rFonts w:ascii="Verdana" w:hAnsi="Verdana"/>
                <w:sz w:val="16"/>
              </w:rPr>
              <w:t xml:space="preserve">rester. </w:t>
            </w:r>
          </w:p>
        </w:tc>
        <w:tc>
          <w:tcPr>
            <w:tcW w:w="1984" w:type="dxa"/>
            <w:tcMar>
              <w:top w:w="85" w:type="dxa"/>
              <w:bottom w:w="85" w:type="dxa"/>
            </w:tcMar>
          </w:tcPr>
          <w:p w:rsidR="00B86C6B" w:rsidRPr="00360F70" w:rsidRDefault="00B86C6B" w:rsidP="004E54A8">
            <w:pPr>
              <w:widowControl w:val="0"/>
              <w:rPr>
                <w:rFonts w:ascii="Verdana" w:hAnsi="Verdana" w:cs="Tahoma"/>
                <w:iCs/>
                <w:sz w:val="16"/>
                <w:szCs w:val="16"/>
              </w:rPr>
            </w:pPr>
          </w:p>
        </w:tc>
        <w:tc>
          <w:tcPr>
            <w:tcW w:w="2694" w:type="dxa"/>
            <w:gridSpan w:val="2"/>
            <w:tcMar>
              <w:top w:w="85" w:type="dxa"/>
              <w:bottom w:w="85" w:type="dxa"/>
            </w:tcMar>
          </w:tcPr>
          <w:p w:rsidR="00B86C6B" w:rsidRPr="00360F70" w:rsidRDefault="00B86C6B" w:rsidP="004E54A8">
            <w:pPr>
              <w:widowControl w:val="0"/>
              <w:rPr>
                <w:rFonts w:ascii="Verdana" w:hAnsi="Verdana" w:cs="Tahoma"/>
                <w:sz w:val="16"/>
                <w:szCs w:val="16"/>
              </w:rPr>
            </w:pPr>
          </w:p>
        </w:tc>
      </w:tr>
      <w:tr w:rsidR="00FA07B5" w:rsidRPr="00360F70" w:rsidTr="009F6611">
        <w:trPr>
          <w:trHeight w:val="805"/>
        </w:trPr>
        <w:tc>
          <w:tcPr>
            <w:tcW w:w="1890" w:type="dxa"/>
            <w:tcMar>
              <w:top w:w="85" w:type="dxa"/>
              <w:bottom w:w="85" w:type="dxa"/>
            </w:tcMar>
          </w:tcPr>
          <w:p w:rsidR="00FA07B5" w:rsidRPr="00360F70" w:rsidRDefault="004C162B" w:rsidP="004C162B">
            <w:pPr>
              <w:widowControl w:val="0"/>
              <w:rPr>
                <w:rFonts w:ascii="Verdana" w:hAnsi="Verdana" w:cs="Tahoma"/>
                <w:b/>
                <w:bCs/>
                <w:sz w:val="16"/>
                <w:szCs w:val="16"/>
              </w:rPr>
            </w:pPr>
            <w:r w:rsidRPr="00360F70">
              <w:rPr>
                <w:rFonts w:ascii="Verdana" w:hAnsi="Verdana"/>
                <w:b/>
                <w:sz w:val="16"/>
              </w:rPr>
              <w:t xml:space="preserve">Kontaminering genom </w:t>
            </w:r>
            <w:proofErr w:type="spellStart"/>
            <w:r w:rsidRPr="00360F70">
              <w:rPr>
                <w:rFonts w:ascii="Verdana" w:hAnsi="Verdana"/>
                <w:b/>
                <w:sz w:val="16"/>
              </w:rPr>
              <w:t>salt</w:t>
            </w:r>
            <w:r w:rsidRPr="00360F70">
              <w:softHyphen/>
            </w:r>
            <w:r w:rsidRPr="00360F70">
              <w:rPr>
                <w:rFonts w:ascii="Verdana" w:hAnsi="Verdana"/>
                <w:b/>
                <w:sz w:val="16"/>
              </w:rPr>
              <w:t>återvinnings</w:t>
            </w:r>
            <w:r w:rsidRPr="00360F70">
              <w:softHyphen/>
            </w:r>
            <w:r w:rsidRPr="00360F70">
              <w:rPr>
                <w:rFonts w:ascii="Verdana" w:hAnsi="Verdana"/>
                <w:b/>
                <w:sz w:val="16"/>
              </w:rPr>
              <w:t>processen</w:t>
            </w:r>
            <w:proofErr w:type="spellEnd"/>
            <w:r w:rsidRPr="00360F70">
              <w:rPr>
                <w:rFonts w:ascii="Verdana" w:hAnsi="Verdana"/>
                <w:b/>
                <w:sz w:val="16"/>
              </w:rPr>
              <w:t xml:space="preserve"> (vid </w:t>
            </w:r>
            <w:proofErr w:type="spellStart"/>
            <w:r w:rsidRPr="00360F70">
              <w:rPr>
                <w:rFonts w:ascii="Verdana" w:hAnsi="Verdana"/>
                <w:b/>
                <w:sz w:val="16"/>
              </w:rPr>
              <w:t>glycerin</w:t>
            </w:r>
            <w:r w:rsidRPr="00360F70">
              <w:softHyphen/>
            </w:r>
            <w:r w:rsidRPr="00360F70">
              <w:rPr>
                <w:rFonts w:ascii="Verdana" w:hAnsi="Verdana"/>
                <w:b/>
                <w:sz w:val="16"/>
              </w:rPr>
              <w:t>neutralisering</w:t>
            </w:r>
            <w:proofErr w:type="spellEnd"/>
            <w:r w:rsidRPr="00360F70">
              <w:rPr>
                <w:rFonts w:ascii="Verdana" w:hAnsi="Verdana"/>
                <w:b/>
                <w:sz w:val="16"/>
              </w:rPr>
              <w:t xml:space="preserve">) </w:t>
            </w:r>
          </w:p>
        </w:tc>
        <w:tc>
          <w:tcPr>
            <w:tcW w:w="648" w:type="dxa"/>
            <w:tcMar>
              <w:top w:w="85" w:type="dxa"/>
              <w:bottom w:w="85" w:type="dxa"/>
            </w:tcMar>
          </w:tcPr>
          <w:p w:rsidR="00FA07B5" w:rsidRPr="00360F70" w:rsidRDefault="00FA07B5" w:rsidP="004E54A8">
            <w:pPr>
              <w:widowControl w:val="0"/>
              <w:jc w:val="center"/>
              <w:rPr>
                <w:rFonts w:ascii="Verdana" w:hAnsi="Verdana" w:cs="Tahoma"/>
                <w:sz w:val="16"/>
                <w:szCs w:val="16"/>
              </w:rPr>
            </w:pPr>
            <w:r w:rsidRPr="00360F70">
              <w:rPr>
                <w:rFonts w:ascii="Verdana" w:hAnsi="Verdana"/>
                <w:sz w:val="16"/>
              </w:rPr>
              <w:t>C</w:t>
            </w:r>
          </w:p>
        </w:tc>
        <w:tc>
          <w:tcPr>
            <w:tcW w:w="972" w:type="dxa"/>
            <w:tcMar>
              <w:top w:w="85" w:type="dxa"/>
              <w:bottom w:w="85" w:type="dxa"/>
            </w:tcMar>
          </w:tcPr>
          <w:p w:rsidR="00FA07B5" w:rsidRPr="00360F70" w:rsidRDefault="00FA07B5" w:rsidP="004E54A8">
            <w:pPr>
              <w:widowControl w:val="0"/>
              <w:jc w:val="center"/>
              <w:rPr>
                <w:rFonts w:ascii="Verdana" w:hAnsi="Verdana" w:cs="Tahoma"/>
                <w:sz w:val="16"/>
                <w:szCs w:val="16"/>
              </w:rPr>
            </w:pPr>
            <w:r w:rsidRPr="00360F70">
              <w:rPr>
                <w:rFonts w:ascii="Verdana" w:hAnsi="Verdana"/>
                <w:sz w:val="16"/>
              </w:rPr>
              <w:t>Liten</w:t>
            </w:r>
          </w:p>
        </w:tc>
        <w:tc>
          <w:tcPr>
            <w:tcW w:w="1418" w:type="dxa"/>
            <w:tcMar>
              <w:top w:w="85" w:type="dxa"/>
              <w:bottom w:w="85" w:type="dxa"/>
            </w:tcMar>
          </w:tcPr>
          <w:p w:rsidR="00FA07B5" w:rsidRPr="00360F70" w:rsidRDefault="00FA07B5" w:rsidP="008C7C3E">
            <w:pPr>
              <w:widowControl w:val="0"/>
              <w:jc w:val="center"/>
              <w:rPr>
                <w:rFonts w:ascii="Verdana" w:hAnsi="Verdana" w:cs="Tahoma"/>
                <w:sz w:val="16"/>
                <w:szCs w:val="16"/>
              </w:rPr>
            </w:pPr>
            <w:r w:rsidRPr="00360F70">
              <w:rPr>
                <w:rFonts w:ascii="Verdana" w:hAnsi="Verdana"/>
                <w:sz w:val="16"/>
              </w:rPr>
              <w:t>Liten</w:t>
            </w:r>
          </w:p>
        </w:tc>
        <w:tc>
          <w:tcPr>
            <w:tcW w:w="850" w:type="dxa"/>
            <w:tcMar>
              <w:top w:w="85" w:type="dxa"/>
              <w:bottom w:w="85" w:type="dxa"/>
            </w:tcMar>
          </w:tcPr>
          <w:p w:rsidR="00FA07B5" w:rsidRPr="00360F70" w:rsidRDefault="00633719" w:rsidP="004E54A8">
            <w:pPr>
              <w:widowControl w:val="0"/>
              <w:jc w:val="center"/>
              <w:rPr>
                <w:rFonts w:ascii="Verdana" w:hAnsi="Verdana" w:cs="Tahoma"/>
                <w:sz w:val="16"/>
                <w:szCs w:val="16"/>
              </w:rPr>
            </w:pPr>
            <w:r w:rsidRPr="00360F70">
              <w:rPr>
                <w:rFonts w:ascii="Verdana" w:hAnsi="Verdana"/>
                <w:sz w:val="16"/>
              </w:rPr>
              <w:t>1</w:t>
            </w:r>
          </w:p>
        </w:tc>
        <w:tc>
          <w:tcPr>
            <w:tcW w:w="2301" w:type="dxa"/>
            <w:tcMar>
              <w:top w:w="85" w:type="dxa"/>
              <w:bottom w:w="85" w:type="dxa"/>
            </w:tcMar>
          </w:tcPr>
          <w:p w:rsidR="00FA07B5" w:rsidRPr="00360F70" w:rsidRDefault="004C162B" w:rsidP="00633719">
            <w:pPr>
              <w:widowControl w:val="0"/>
              <w:rPr>
                <w:rFonts w:ascii="Verdana" w:hAnsi="Verdana" w:cs="Tahoma"/>
                <w:sz w:val="16"/>
                <w:szCs w:val="16"/>
              </w:rPr>
            </w:pPr>
            <w:proofErr w:type="spellStart"/>
            <w:r w:rsidRPr="00360F70">
              <w:rPr>
                <w:rFonts w:ascii="Verdana" w:hAnsi="Verdana"/>
                <w:sz w:val="16"/>
              </w:rPr>
              <w:t>NaCl</w:t>
            </w:r>
            <w:proofErr w:type="spellEnd"/>
            <w:r w:rsidRPr="00360F70">
              <w:rPr>
                <w:rFonts w:ascii="Verdana" w:hAnsi="Verdana"/>
                <w:sz w:val="16"/>
              </w:rPr>
              <w:t xml:space="preserve"> (salt) är nästan alltid upplöst i den råa glycerinen och inte en fast biprodukt.</w:t>
            </w:r>
          </w:p>
        </w:tc>
        <w:tc>
          <w:tcPr>
            <w:tcW w:w="1952" w:type="dxa"/>
            <w:tcMar>
              <w:top w:w="85" w:type="dxa"/>
              <w:bottom w:w="85" w:type="dxa"/>
            </w:tcMar>
          </w:tcPr>
          <w:p w:rsidR="00FA07B5" w:rsidRPr="00360F70" w:rsidRDefault="00FA07B5" w:rsidP="00C724B8">
            <w:pPr>
              <w:widowControl w:val="0"/>
              <w:rPr>
                <w:rFonts w:ascii="Verdana" w:hAnsi="Verdana" w:cs="Tahoma"/>
                <w:sz w:val="16"/>
                <w:szCs w:val="16"/>
              </w:rPr>
            </w:pPr>
          </w:p>
        </w:tc>
        <w:tc>
          <w:tcPr>
            <w:tcW w:w="1984" w:type="dxa"/>
            <w:tcMar>
              <w:top w:w="85" w:type="dxa"/>
              <w:bottom w:w="85" w:type="dxa"/>
            </w:tcMar>
          </w:tcPr>
          <w:p w:rsidR="00FA07B5" w:rsidRPr="00360F70" w:rsidRDefault="00FA07B5" w:rsidP="004E54A8">
            <w:pPr>
              <w:widowControl w:val="0"/>
              <w:rPr>
                <w:rFonts w:ascii="Verdana" w:hAnsi="Verdana" w:cs="Tahoma"/>
                <w:iCs/>
                <w:sz w:val="16"/>
                <w:szCs w:val="16"/>
              </w:rPr>
            </w:pPr>
          </w:p>
        </w:tc>
        <w:tc>
          <w:tcPr>
            <w:tcW w:w="2694" w:type="dxa"/>
            <w:gridSpan w:val="2"/>
            <w:tcMar>
              <w:top w:w="85" w:type="dxa"/>
              <w:bottom w:w="85" w:type="dxa"/>
            </w:tcMar>
          </w:tcPr>
          <w:p w:rsidR="00FA07B5" w:rsidRPr="00360F70" w:rsidRDefault="004C162B" w:rsidP="001026C8">
            <w:pPr>
              <w:widowControl w:val="0"/>
              <w:rPr>
                <w:rFonts w:ascii="Verdana" w:hAnsi="Verdana" w:cs="Tahoma"/>
                <w:sz w:val="16"/>
                <w:szCs w:val="16"/>
              </w:rPr>
            </w:pPr>
            <w:r w:rsidRPr="00360F70">
              <w:rPr>
                <w:rFonts w:ascii="Verdana" w:hAnsi="Verdana"/>
                <w:sz w:val="16"/>
              </w:rPr>
              <w:t>Salt kan återvinnas för att användas som göd</w:t>
            </w:r>
            <w:r w:rsidR="001026C8">
              <w:rPr>
                <w:rFonts w:ascii="Verdana" w:hAnsi="Verdana"/>
                <w:sz w:val="16"/>
              </w:rPr>
              <w:t>sel</w:t>
            </w:r>
            <w:r w:rsidRPr="00360F70">
              <w:rPr>
                <w:rFonts w:ascii="Verdana" w:hAnsi="Verdana"/>
                <w:sz w:val="16"/>
              </w:rPr>
              <w:t>medel</w:t>
            </w:r>
          </w:p>
        </w:tc>
      </w:tr>
      <w:tr w:rsidR="008551A2" w:rsidRPr="00360F70" w:rsidTr="00F029E4">
        <w:trPr>
          <w:trHeight w:val="1747"/>
        </w:trPr>
        <w:tc>
          <w:tcPr>
            <w:tcW w:w="1890" w:type="dxa"/>
            <w:tcMar>
              <w:top w:w="85" w:type="dxa"/>
              <w:bottom w:w="85" w:type="dxa"/>
            </w:tcMar>
          </w:tcPr>
          <w:p w:rsidR="00A25223" w:rsidRPr="00360F70" w:rsidRDefault="00A25223" w:rsidP="00A25223">
            <w:pPr>
              <w:widowControl w:val="0"/>
              <w:rPr>
                <w:rFonts w:ascii="Verdana" w:hAnsi="Verdana" w:cs="Tahoma"/>
                <w:b/>
                <w:bCs/>
                <w:sz w:val="16"/>
                <w:szCs w:val="16"/>
              </w:rPr>
            </w:pPr>
            <w:r w:rsidRPr="00360F70">
              <w:rPr>
                <w:rFonts w:ascii="Verdana" w:hAnsi="Verdana"/>
                <w:b/>
                <w:sz w:val="16"/>
              </w:rPr>
              <w:lastRenderedPageBreak/>
              <w:t>Leverans av fettämnen – korrekt märkning</w:t>
            </w:r>
          </w:p>
          <w:p w:rsidR="00A25223" w:rsidRPr="00360F70" w:rsidRDefault="00A25223" w:rsidP="004E54A8">
            <w:pPr>
              <w:widowControl w:val="0"/>
              <w:rPr>
                <w:rFonts w:ascii="Verdana" w:hAnsi="Verdana" w:cs="Tahoma"/>
                <w:b/>
                <w:bCs/>
                <w:sz w:val="16"/>
                <w:szCs w:val="16"/>
              </w:rPr>
            </w:pPr>
          </w:p>
        </w:tc>
        <w:tc>
          <w:tcPr>
            <w:tcW w:w="648" w:type="dxa"/>
            <w:tcMar>
              <w:top w:w="85" w:type="dxa"/>
              <w:bottom w:w="85" w:type="dxa"/>
            </w:tcMar>
          </w:tcPr>
          <w:p w:rsidR="008551A2" w:rsidRPr="00360F70" w:rsidRDefault="008551A2" w:rsidP="004E54A8">
            <w:pPr>
              <w:widowControl w:val="0"/>
              <w:jc w:val="center"/>
              <w:rPr>
                <w:rFonts w:ascii="Verdana" w:hAnsi="Verdana" w:cs="Tahoma"/>
                <w:sz w:val="16"/>
                <w:szCs w:val="16"/>
              </w:rPr>
            </w:pPr>
          </w:p>
        </w:tc>
        <w:tc>
          <w:tcPr>
            <w:tcW w:w="972" w:type="dxa"/>
            <w:tcMar>
              <w:top w:w="85" w:type="dxa"/>
              <w:bottom w:w="85" w:type="dxa"/>
            </w:tcMar>
          </w:tcPr>
          <w:p w:rsidR="00A25223" w:rsidRPr="00360F70" w:rsidRDefault="00A25223" w:rsidP="004E54A8">
            <w:pPr>
              <w:widowControl w:val="0"/>
              <w:jc w:val="center"/>
              <w:rPr>
                <w:rFonts w:ascii="Verdana" w:hAnsi="Verdana" w:cs="Tahoma"/>
                <w:sz w:val="16"/>
                <w:szCs w:val="16"/>
              </w:rPr>
            </w:pPr>
            <w:r w:rsidRPr="00360F70">
              <w:rPr>
                <w:rFonts w:ascii="Verdana" w:hAnsi="Verdana"/>
                <w:sz w:val="16"/>
              </w:rPr>
              <w:t>Måttlig</w:t>
            </w:r>
          </w:p>
        </w:tc>
        <w:tc>
          <w:tcPr>
            <w:tcW w:w="1418" w:type="dxa"/>
            <w:tcMar>
              <w:top w:w="85" w:type="dxa"/>
              <w:bottom w:w="85" w:type="dxa"/>
            </w:tcMar>
          </w:tcPr>
          <w:p w:rsidR="00A25223" w:rsidRPr="00360F70" w:rsidRDefault="00A25223" w:rsidP="008C7C3E">
            <w:pPr>
              <w:widowControl w:val="0"/>
              <w:jc w:val="center"/>
              <w:rPr>
                <w:rFonts w:ascii="Verdana" w:hAnsi="Verdana" w:cs="Tahoma"/>
                <w:sz w:val="16"/>
                <w:szCs w:val="16"/>
              </w:rPr>
            </w:pPr>
            <w:r w:rsidRPr="00360F70">
              <w:rPr>
                <w:rFonts w:ascii="Verdana" w:hAnsi="Verdana"/>
                <w:sz w:val="16"/>
              </w:rPr>
              <w:t>Stor</w:t>
            </w:r>
          </w:p>
        </w:tc>
        <w:tc>
          <w:tcPr>
            <w:tcW w:w="850" w:type="dxa"/>
            <w:shd w:val="clear" w:color="auto" w:fill="FF0000"/>
            <w:tcMar>
              <w:top w:w="85" w:type="dxa"/>
              <w:bottom w:w="85" w:type="dxa"/>
            </w:tcMar>
          </w:tcPr>
          <w:p w:rsidR="008551A2" w:rsidRPr="00360F70" w:rsidRDefault="00565264" w:rsidP="004E54A8">
            <w:pPr>
              <w:widowControl w:val="0"/>
              <w:jc w:val="center"/>
              <w:rPr>
                <w:rFonts w:ascii="Verdana" w:hAnsi="Verdana" w:cs="Tahoma"/>
                <w:sz w:val="16"/>
                <w:szCs w:val="16"/>
              </w:rPr>
            </w:pPr>
            <w:r w:rsidRPr="00360F70">
              <w:rPr>
                <w:rFonts w:ascii="Verdana" w:hAnsi="Verdana"/>
                <w:sz w:val="16"/>
              </w:rPr>
              <w:t>4</w:t>
            </w:r>
          </w:p>
        </w:tc>
        <w:tc>
          <w:tcPr>
            <w:tcW w:w="2301" w:type="dxa"/>
            <w:tcMar>
              <w:top w:w="85" w:type="dxa"/>
              <w:bottom w:w="85" w:type="dxa"/>
            </w:tcMar>
          </w:tcPr>
          <w:p w:rsidR="008551A2" w:rsidRPr="00360F70" w:rsidRDefault="008551A2" w:rsidP="008C7C3E">
            <w:pPr>
              <w:widowControl w:val="0"/>
              <w:rPr>
                <w:rFonts w:ascii="Verdana" w:hAnsi="Verdana" w:cs="Tahoma"/>
                <w:sz w:val="16"/>
                <w:szCs w:val="16"/>
              </w:rPr>
            </w:pPr>
          </w:p>
        </w:tc>
        <w:tc>
          <w:tcPr>
            <w:tcW w:w="1952" w:type="dxa"/>
            <w:tcMar>
              <w:top w:w="85" w:type="dxa"/>
              <w:bottom w:w="85" w:type="dxa"/>
            </w:tcMar>
          </w:tcPr>
          <w:p w:rsidR="008551A2" w:rsidRPr="00360F70" w:rsidRDefault="008551A2" w:rsidP="00C724B8">
            <w:pPr>
              <w:widowControl w:val="0"/>
              <w:rPr>
                <w:rFonts w:ascii="Verdana" w:hAnsi="Verdana" w:cs="Tahoma"/>
                <w:sz w:val="16"/>
                <w:szCs w:val="16"/>
              </w:rPr>
            </w:pPr>
          </w:p>
        </w:tc>
        <w:tc>
          <w:tcPr>
            <w:tcW w:w="1984" w:type="dxa"/>
            <w:tcMar>
              <w:top w:w="85" w:type="dxa"/>
              <w:bottom w:w="85" w:type="dxa"/>
            </w:tcMar>
          </w:tcPr>
          <w:p w:rsidR="00A25223" w:rsidRPr="00360F70" w:rsidRDefault="00A25223" w:rsidP="009F6611">
            <w:pPr>
              <w:widowControl w:val="0"/>
              <w:rPr>
                <w:rFonts w:ascii="Verdana" w:hAnsi="Verdana" w:cs="Tahoma"/>
                <w:iCs/>
                <w:sz w:val="16"/>
                <w:szCs w:val="16"/>
              </w:rPr>
            </w:pPr>
            <w:r w:rsidRPr="00360F70">
              <w:rPr>
                <w:rFonts w:ascii="Verdana" w:hAnsi="Verdana"/>
                <w:sz w:val="16"/>
              </w:rPr>
              <w:t>Om fettämnen levereras som en biprodukt ska de märkas med ”ej foder/ej livsmedel” för att de inte ska användas inom fodersektorn.</w:t>
            </w:r>
          </w:p>
        </w:tc>
        <w:tc>
          <w:tcPr>
            <w:tcW w:w="2694" w:type="dxa"/>
            <w:gridSpan w:val="2"/>
            <w:tcMar>
              <w:top w:w="85" w:type="dxa"/>
              <w:bottom w:w="85" w:type="dxa"/>
            </w:tcMar>
          </w:tcPr>
          <w:p w:rsidR="00A25223" w:rsidRPr="00360F70" w:rsidRDefault="00A25223" w:rsidP="00A25223">
            <w:pPr>
              <w:rPr>
                <w:rFonts w:ascii="Verdana" w:hAnsi="Verdana"/>
                <w:sz w:val="16"/>
                <w:szCs w:val="16"/>
              </w:rPr>
            </w:pPr>
            <w:r w:rsidRPr="00360F70">
              <w:rPr>
                <w:rFonts w:ascii="Verdana" w:hAnsi="Verdana"/>
                <w:sz w:val="16"/>
              </w:rPr>
              <w:t xml:space="preserve">Fettsyror med metylestrar (även kallat fettämnen) som samlas in efter återvinning av metanol vid </w:t>
            </w:r>
            <w:proofErr w:type="spellStart"/>
            <w:r w:rsidRPr="00360F70">
              <w:rPr>
                <w:rFonts w:ascii="Verdana" w:hAnsi="Verdana"/>
                <w:sz w:val="16"/>
              </w:rPr>
              <w:t>biodiesel</w:t>
            </w:r>
            <w:r w:rsidRPr="00360F70">
              <w:softHyphen/>
            </w:r>
            <w:r w:rsidRPr="00360F70">
              <w:rPr>
                <w:rFonts w:ascii="Verdana" w:hAnsi="Verdana"/>
                <w:sz w:val="16"/>
              </w:rPr>
              <w:t>produktion</w:t>
            </w:r>
            <w:proofErr w:type="spellEnd"/>
            <w:r w:rsidRPr="00360F70">
              <w:rPr>
                <w:rFonts w:ascii="Verdana" w:hAnsi="Verdana"/>
                <w:sz w:val="16"/>
              </w:rPr>
              <w:t>, får inte användas till foder eftersom lipofila tillsatser som används vid biodieselproduktion anrikas i fettsyror.</w:t>
            </w:r>
          </w:p>
          <w:p w:rsidR="008551A2" w:rsidRPr="00360F70" w:rsidRDefault="008551A2" w:rsidP="00A25223">
            <w:pPr>
              <w:rPr>
                <w:rFonts w:ascii="Verdana" w:hAnsi="Verdana" w:cs="Tahoma"/>
                <w:sz w:val="16"/>
                <w:szCs w:val="16"/>
              </w:rPr>
            </w:pPr>
          </w:p>
        </w:tc>
      </w:tr>
    </w:tbl>
    <w:p w:rsidR="004E54A8" w:rsidRPr="00360F70"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639"/>
        <w:gridCol w:w="865"/>
        <w:gridCol w:w="1417"/>
        <w:gridCol w:w="851"/>
        <w:gridCol w:w="2835"/>
        <w:gridCol w:w="1701"/>
        <w:gridCol w:w="2409"/>
        <w:gridCol w:w="2127"/>
      </w:tblGrid>
      <w:tr w:rsidR="00C724B8" w:rsidRPr="00360F70" w:rsidTr="00FF185B">
        <w:trPr>
          <w:trHeight w:val="425"/>
        </w:trPr>
        <w:tc>
          <w:tcPr>
            <w:tcW w:w="4786" w:type="dxa"/>
            <w:gridSpan w:val="4"/>
            <w:tcBorders>
              <w:bottom w:val="single" w:sz="4" w:space="0" w:color="auto"/>
            </w:tcBorders>
            <w:shd w:val="clear" w:color="auto" w:fill="0DA72A"/>
            <w:tcMar>
              <w:top w:w="57" w:type="dxa"/>
              <w:bottom w:w="57" w:type="dxa"/>
            </w:tcMar>
            <w:vAlign w:val="center"/>
          </w:tcPr>
          <w:p w:rsidR="00C724B8" w:rsidRPr="00360F70" w:rsidRDefault="004E54A8" w:rsidP="00C724B8">
            <w:pPr>
              <w:widowControl w:val="0"/>
              <w:spacing w:before="20" w:after="20"/>
              <w:ind w:left="85" w:right="85"/>
              <w:rPr>
                <w:rFonts w:ascii="Verdana" w:hAnsi="Verdana"/>
                <w:b/>
                <w:color w:val="FFFFFF"/>
                <w:sz w:val="32"/>
                <w:szCs w:val="32"/>
              </w:rPr>
            </w:pPr>
            <w:r w:rsidRPr="00360F70">
              <w:br w:type="page"/>
            </w:r>
            <w:r w:rsidRPr="00360F70">
              <w:rPr>
                <w:rFonts w:ascii="Verdana" w:hAnsi="Verdana"/>
                <w:b/>
                <w:color w:val="FFFFFF"/>
                <w:sz w:val="32"/>
              </w:rPr>
              <w:t>8. Riskbaserad strategi för glycerin</w:t>
            </w:r>
          </w:p>
          <w:p w:rsidR="00C724B8" w:rsidRPr="00360F70" w:rsidRDefault="00C724B8" w:rsidP="004E54A8">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tcPr>
          <w:p w:rsidR="00C724B8" w:rsidRPr="00360F70" w:rsidRDefault="00B87D01" w:rsidP="0068412B">
            <w:pPr>
              <w:widowControl w:val="0"/>
              <w:spacing w:before="20" w:after="20"/>
              <w:ind w:left="85" w:right="85"/>
              <w:rPr>
                <w:rFonts w:ascii="Verdana" w:hAnsi="Verdana" w:cs="Tahoma"/>
                <w:b/>
                <w:color w:val="FFFFFF"/>
                <w:sz w:val="28"/>
                <w:szCs w:val="28"/>
              </w:rPr>
            </w:pPr>
            <w:r w:rsidRPr="00360F70">
              <w:rPr>
                <w:rFonts w:ascii="Verdana" w:hAnsi="Verdana"/>
                <w:b/>
                <w:color w:val="FFFFFF"/>
                <w:sz w:val="28"/>
              </w:rPr>
              <w:t xml:space="preserve">7. </w:t>
            </w:r>
            <w:r w:rsidR="0068412B">
              <w:rPr>
                <w:rFonts w:ascii="Verdana" w:hAnsi="Verdana"/>
                <w:b/>
                <w:color w:val="FFFFFF"/>
                <w:sz w:val="28"/>
              </w:rPr>
              <w:t>Lag</w:t>
            </w:r>
            <w:r w:rsidRPr="00360F70">
              <w:rPr>
                <w:rFonts w:ascii="Verdana" w:hAnsi="Verdana"/>
                <w:b/>
                <w:color w:val="FFFFFF"/>
                <w:sz w:val="28"/>
              </w:rPr>
              <w:t>ring</w:t>
            </w:r>
          </w:p>
        </w:tc>
      </w:tr>
      <w:tr w:rsidR="00B86C6B" w:rsidRPr="00360F70" w:rsidTr="003E010C">
        <w:trPr>
          <w:trHeight w:val="531"/>
        </w:trPr>
        <w:tc>
          <w:tcPr>
            <w:tcW w:w="1865"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39"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865"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7"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851"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835"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1701"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och/eller kontraktsvillkor </w:t>
            </w:r>
          </w:p>
        </w:tc>
        <w:tc>
          <w:tcPr>
            <w:tcW w:w="2409"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B86C6B" w:rsidRPr="00360F70" w:rsidTr="003E010C">
        <w:trPr>
          <w:trHeight w:val="1015"/>
        </w:trPr>
        <w:tc>
          <w:tcPr>
            <w:tcW w:w="1865" w:type="dxa"/>
            <w:tcBorders>
              <w:bottom w:val="single" w:sz="4" w:space="0" w:color="auto"/>
            </w:tcBorders>
            <w:tcMar>
              <w:top w:w="85" w:type="dxa"/>
              <w:bottom w:w="85" w:type="dxa"/>
            </w:tcMar>
          </w:tcPr>
          <w:p w:rsidR="00B86C6B" w:rsidRPr="00360F70" w:rsidRDefault="00B86C6B" w:rsidP="00C724B8">
            <w:pPr>
              <w:widowControl w:val="0"/>
              <w:rPr>
                <w:rFonts w:ascii="Verdana" w:hAnsi="Verdana" w:cs="Tahoma"/>
                <w:b/>
                <w:bCs/>
                <w:sz w:val="16"/>
                <w:szCs w:val="16"/>
              </w:rPr>
            </w:pPr>
            <w:r w:rsidRPr="00360F70">
              <w:rPr>
                <w:rFonts w:ascii="Verdana" w:hAnsi="Verdana"/>
                <w:b/>
                <w:sz w:val="16"/>
              </w:rPr>
              <w:t xml:space="preserve">Kontaminering på grund av bristande åtskillnad </w:t>
            </w:r>
          </w:p>
        </w:tc>
        <w:tc>
          <w:tcPr>
            <w:tcW w:w="639" w:type="dxa"/>
            <w:tcBorders>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865" w:type="dxa"/>
            <w:tcBorders>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7" w:type="dxa"/>
            <w:tcBorders>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851" w:type="dxa"/>
            <w:tcBorders>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835"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1701" w:type="dxa"/>
            <w:tcBorders>
              <w:bottom w:val="single" w:sz="4" w:space="0" w:color="auto"/>
            </w:tcBorders>
            <w:tcMar>
              <w:top w:w="85" w:type="dxa"/>
              <w:bottom w:w="85" w:type="dxa"/>
            </w:tcMar>
          </w:tcPr>
          <w:p w:rsidR="00B86C6B" w:rsidRPr="00360F70" w:rsidRDefault="00B86C6B" w:rsidP="00C724B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52268B" w:rsidRPr="00360F70" w:rsidRDefault="00CE6A2B" w:rsidP="004E54A8">
            <w:pPr>
              <w:widowControl w:val="0"/>
              <w:rPr>
                <w:rFonts w:ascii="Verdana" w:hAnsi="Verdana" w:cs="Tahoma"/>
                <w:sz w:val="16"/>
                <w:szCs w:val="16"/>
              </w:rPr>
            </w:pPr>
            <w:r w:rsidRPr="00360F70">
              <w:rPr>
                <w:rFonts w:ascii="Verdana" w:hAnsi="Verdana"/>
                <w:sz w:val="16"/>
              </w:rPr>
              <w:t xml:space="preserve">Det ska finnas </w:t>
            </w:r>
            <w:r w:rsidR="0068412B">
              <w:rPr>
                <w:rFonts w:ascii="Verdana" w:hAnsi="Verdana"/>
                <w:sz w:val="16"/>
              </w:rPr>
              <w:t>lag</w:t>
            </w:r>
            <w:r w:rsidRPr="00360F70">
              <w:rPr>
                <w:rFonts w:ascii="Verdana" w:hAnsi="Verdana"/>
                <w:sz w:val="16"/>
              </w:rPr>
              <w:t xml:space="preserve">ringsrutiner som minskar risken för </w:t>
            </w:r>
            <w:proofErr w:type="spellStart"/>
            <w:r w:rsidRPr="00360F70">
              <w:rPr>
                <w:rFonts w:ascii="Verdana" w:hAnsi="Verdana"/>
                <w:sz w:val="16"/>
              </w:rPr>
              <w:t>kors</w:t>
            </w:r>
            <w:r w:rsidRPr="00360F70">
              <w:softHyphen/>
            </w:r>
            <w:r w:rsidRPr="00360F70">
              <w:rPr>
                <w:rFonts w:ascii="Verdana" w:hAnsi="Verdana"/>
                <w:sz w:val="16"/>
              </w:rPr>
              <w:t>kontaminering</w:t>
            </w:r>
            <w:proofErr w:type="spellEnd"/>
            <w:r w:rsidRPr="00360F70">
              <w:rPr>
                <w:rFonts w:ascii="Verdana" w:hAnsi="Verdana"/>
                <w:sz w:val="16"/>
              </w:rPr>
              <w:t xml:space="preserve">. </w:t>
            </w:r>
          </w:p>
          <w:p w:rsidR="0052268B" w:rsidRPr="00360F70" w:rsidRDefault="0052268B" w:rsidP="00FF185B">
            <w:pPr>
              <w:widowControl w:val="0"/>
              <w:rPr>
                <w:rFonts w:ascii="Verdana" w:hAnsi="Verdana" w:cs="Tahoma"/>
                <w:sz w:val="16"/>
                <w:szCs w:val="16"/>
              </w:rPr>
            </w:pPr>
            <w:r w:rsidRPr="00360F70">
              <w:rPr>
                <w:rFonts w:ascii="Verdana" w:hAnsi="Verdana"/>
                <w:sz w:val="16"/>
              </w:rPr>
              <w:t>Dedikerade tankar.</w:t>
            </w:r>
          </w:p>
        </w:tc>
        <w:tc>
          <w:tcPr>
            <w:tcW w:w="2127"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3E010C">
        <w:trPr>
          <w:trHeight w:val="1670"/>
        </w:trPr>
        <w:tc>
          <w:tcPr>
            <w:tcW w:w="1865"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b/>
                <w:bCs/>
                <w:sz w:val="16"/>
                <w:szCs w:val="16"/>
              </w:rPr>
            </w:pPr>
            <w:r w:rsidRPr="00360F70">
              <w:rPr>
                <w:rFonts w:ascii="Verdana" w:hAnsi="Verdana"/>
                <w:b/>
                <w:sz w:val="16"/>
              </w:rPr>
              <w:t>Kontaminering med rengöringsmedel</w:t>
            </w:r>
          </w:p>
        </w:tc>
        <w:tc>
          <w:tcPr>
            <w:tcW w:w="639" w:type="dxa"/>
            <w:tcBorders>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865" w:type="dxa"/>
            <w:tcBorders>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7" w:type="dxa"/>
            <w:tcBorders>
              <w:bottom w:val="single" w:sz="4" w:space="0" w:color="auto"/>
            </w:tcBorders>
            <w:tcMar>
              <w:top w:w="85" w:type="dxa"/>
              <w:bottom w:w="85" w:type="dxa"/>
            </w:tcMar>
          </w:tcPr>
          <w:p w:rsidR="00B86C6B" w:rsidRPr="00360F70" w:rsidRDefault="00B86C6B" w:rsidP="00FF185B">
            <w:pPr>
              <w:widowControl w:val="0"/>
              <w:jc w:val="center"/>
              <w:rPr>
                <w:rFonts w:ascii="Verdana" w:hAnsi="Verdana" w:cs="Tahoma"/>
                <w:sz w:val="16"/>
                <w:szCs w:val="16"/>
              </w:rPr>
            </w:pPr>
            <w:r w:rsidRPr="00360F70">
              <w:rPr>
                <w:rFonts w:ascii="Verdana" w:hAnsi="Verdana"/>
                <w:sz w:val="16"/>
              </w:rPr>
              <w:t xml:space="preserve"> Måttlig</w:t>
            </w:r>
          </w:p>
        </w:tc>
        <w:tc>
          <w:tcPr>
            <w:tcW w:w="851" w:type="dxa"/>
            <w:tcBorders>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 xml:space="preserve"> 2</w:t>
            </w:r>
          </w:p>
        </w:tc>
        <w:tc>
          <w:tcPr>
            <w:tcW w:w="2835" w:type="dxa"/>
            <w:tcBorders>
              <w:bottom w:val="single" w:sz="4" w:space="0" w:color="auto"/>
            </w:tcBorders>
            <w:tcMar>
              <w:top w:w="85" w:type="dxa"/>
              <w:bottom w:w="85" w:type="dxa"/>
            </w:tcMar>
          </w:tcPr>
          <w:p w:rsidR="00B86C6B" w:rsidRPr="00360F70" w:rsidRDefault="00B86C6B" w:rsidP="0068412B">
            <w:pPr>
              <w:widowControl w:val="0"/>
              <w:rPr>
                <w:rFonts w:ascii="Verdana" w:hAnsi="Verdana" w:cs="Tahoma"/>
                <w:sz w:val="16"/>
                <w:szCs w:val="16"/>
              </w:rPr>
            </w:pPr>
            <w:r w:rsidRPr="00360F70">
              <w:rPr>
                <w:rFonts w:ascii="Verdana" w:hAnsi="Verdana"/>
                <w:sz w:val="16"/>
              </w:rPr>
              <w:t xml:space="preserve">Den här riskklassificeringen gäller terminaler där både kemikalier och vegetabiliska oljor </w:t>
            </w:r>
            <w:proofErr w:type="spellStart"/>
            <w:r w:rsidR="0068412B">
              <w:rPr>
                <w:rFonts w:ascii="Verdana" w:hAnsi="Verdana"/>
                <w:sz w:val="16"/>
              </w:rPr>
              <w:t>laga</w:t>
            </w:r>
            <w:r w:rsidRPr="00360F70">
              <w:rPr>
                <w:rFonts w:ascii="Verdana" w:hAnsi="Verdana"/>
                <w:sz w:val="16"/>
              </w:rPr>
              <w:t>ras</w:t>
            </w:r>
            <w:proofErr w:type="spellEnd"/>
            <w:r w:rsidRPr="00360F70">
              <w:rPr>
                <w:rFonts w:ascii="Verdana" w:hAnsi="Verdana"/>
                <w:sz w:val="16"/>
              </w:rPr>
              <w:t xml:space="preserve">. Aktörerna kan då avstå från att använda rengöringsmedel som är lämpliga för livsmedelsindustrin. För tankterminaler i EU som tillämpar HACCP och som </w:t>
            </w:r>
            <w:r w:rsidR="0068412B">
              <w:rPr>
                <w:rFonts w:ascii="Verdana" w:hAnsi="Verdana"/>
                <w:sz w:val="16"/>
              </w:rPr>
              <w:t>lag</w:t>
            </w:r>
            <w:r w:rsidRPr="00360F70">
              <w:rPr>
                <w:rFonts w:ascii="Verdana" w:hAnsi="Verdana"/>
                <w:sz w:val="16"/>
              </w:rPr>
              <w:t>rar vegetabiliska oljor och kemikalier separat är risken att fel sorts rengöringsmedel används mycket liten.</w:t>
            </w:r>
          </w:p>
        </w:tc>
        <w:tc>
          <w:tcPr>
            <w:tcW w:w="1701"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B86C6B" w:rsidRPr="00360F70" w:rsidRDefault="001E05FE" w:rsidP="004E54A8">
            <w:pPr>
              <w:widowControl w:val="0"/>
              <w:rPr>
                <w:rFonts w:ascii="Verdana" w:hAnsi="Verdana" w:cs="Tahoma"/>
                <w:sz w:val="16"/>
                <w:szCs w:val="16"/>
              </w:rPr>
            </w:pPr>
            <w:r w:rsidRPr="00360F70">
              <w:rPr>
                <w:rFonts w:ascii="Verdana" w:hAnsi="Verdana"/>
                <w:sz w:val="16"/>
              </w:rPr>
              <w:t xml:space="preserve">De rengöringsmedel som används ska utvärderas och lämpliga åtgärder ska vidtas för att minska risken till godtagbara nivåer. </w:t>
            </w:r>
          </w:p>
        </w:tc>
        <w:tc>
          <w:tcPr>
            <w:tcW w:w="2127"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3E010C">
        <w:trPr>
          <w:trHeight w:val="1305"/>
        </w:trPr>
        <w:tc>
          <w:tcPr>
            <w:tcW w:w="1865"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bCs/>
                <w:sz w:val="16"/>
                <w:szCs w:val="16"/>
              </w:rPr>
            </w:pPr>
            <w:r w:rsidRPr="00360F70">
              <w:rPr>
                <w:rFonts w:ascii="Verdana" w:hAnsi="Verdana"/>
                <w:b/>
                <w:sz w:val="16"/>
              </w:rPr>
              <w:t>Värmeöverföringsvätskor från bristfällig utrustning</w:t>
            </w:r>
          </w:p>
        </w:tc>
        <w:tc>
          <w:tcPr>
            <w:tcW w:w="639"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865"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7"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851" w:type="dxa"/>
            <w:tcBorders>
              <w:top w:val="single" w:sz="4" w:space="0" w:color="auto"/>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B86C6B" w:rsidRPr="00360F70" w:rsidRDefault="00B86C6B" w:rsidP="0068412B">
            <w:pPr>
              <w:widowControl w:val="0"/>
              <w:rPr>
                <w:rFonts w:ascii="Verdana" w:hAnsi="Verdana" w:cs="Tahoma"/>
                <w:sz w:val="16"/>
                <w:szCs w:val="16"/>
              </w:rPr>
            </w:pPr>
            <w:r w:rsidRPr="00360F70">
              <w:rPr>
                <w:rFonts w:ascii="Verdana" w:hAnsi="Verdana"/>
                <w:sz w:val="16"/>
              </w:rPr>
              <w:t xml:space="preserve">Giftiga värmeöverföringsvätskor kan fortfarande användas. Med tanke på den relativt låga uppvärmningstemperaturen under </w:t>
            </w:r>
            <w:r w:rsidR="0068412B">
              <w:rPr>
                <w:rFonts w:ascii="Verdana" w:hAnsi="Verdana"/>
                <w:sz w:val="16"/>
              </w:rPr>
              <w:t>lag</w:t>
            </w:r>
            <w:r w:rsidRPr="00360F70">
              <w:rPr>
                <w:rFonts w:ascii="Verdana" w:hAnsi="Verdana"/>
                <w:sz w:val="16"/>
              </w:rPr>
              <w:t>ring är risken för att värmeöverföringsvätskor ska läcka ut i produkter liten.</w:t>
            </w:r>
          </w:p>
        </w:tc>
        <w:tc>
          <w:tcPr>
            <w:tcW w:w="1701"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360F70" w:rsidRDefault="00B86C6B" w:rsidP="0068412B">
            <w:pPr>
              <w:widowControl w:val="0"/>
              <w:rPr>
                <w:rFonts w:ascii="Verdana" w:hAnsi="Verdana" w:cs="Tahoma"/>
                <w:sz w:val="16"/>
                <w:szCs w:val="16"/>
              </w:rPr>
            </w:pPr>
            <w:r w:rsidRPr="00360F70">
              <w:rPr>
                <w:rFonts w:ascii="Verdana" w:hAnsi="Verdana"/>
                <w:sz w:val="16"/>
              </w:rPr>
              <w:t xml:space="preserve">Om värmeöverföringsvätskor har använts ska </w:t>
            </w:r>
            <w:r w:rsidR="0068412B">
              <w:rPr>
                <w:rFonts w:ascii="Verdana" w:hAnsi="Verdana"/>
                <w:sz w:val="16"/>
              </w:rPr>
              <w:t>lag</w:t>
            </w:r>
            <w:r w:rsidRPr="00360F70">
              <w:rPr>
                <w:rFonts w:ascii="Verdana" w:hAnsi="Verdana"/>
                <w:sz w:val="16"/>
              </w:rPr>
              <w:t xml:space="preserve">ringsföretaget lämna dokumentation om nettoförluster och analys av dessa vid behov. </w:t>
            </w: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 xml:space="preserve">Användning av vatten och ånga för uppvärmning rekommenderas. </w:t>
            </w:r>
            <w:proofErr w:type="spellStart"/>
            <w:r w:rsidRPr="00360F70">
              <w:rPr>
                <w:rFonts w:ascii="Verdana" w:hAnsi="Verdana"/>
                <w:sz w:val="16"/>
              </w:rPr>
              <w:t>Värmeöverförings</w:t>
            </w:r>
            <w:r w:rsidRPr="00360F70">
              <w:softHyphen/>
            </w:r>
            <w:r w:rsidRPr="00360F70">
              <w:rPr>
                <w:rFonts w:ascii="Verdana" w:hAnsi="Verdana"/>
                <w:sz w:val="16"/>
              </w:rPr>
              <w:t>vätskor</w:t>
            </w:r>
            <w:proofErr w:type="spellEnd"/>
            <w:r w:rsidRPr="00360F70">
              <w:rPr>
                <w:rFonts w:ascii="Verdana" w:hAnsi="Verdana"/>
                <w:sz w:val="16"/>
              </w:rPr>
              <w:t xml:space="preserve"> används sällan.</w:t>
            </w:r>
          </w:p>
        </w:tc>
      </w:tr>
      <w:tr w:rsidR="00B86C6B" w:rsidRPr="00360F70" w:rsidTr="003E010C">
        <w:trPr>
          <w:trHeight w:val="823"/>
        </w:trPr>
        <w:tc>
          <w:tcPr>
            <w:tcW w:w="1865"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bCs/>
                <w:sz w:val="16"/>
                <w:szCs w:val="16"/>
              </w:rPr>
            </w:pPr>
            <w:proofErr w:type="spellStart"/>
            <w:r w:rsidRPr="00360F70">
              <w:rPr>
                <w:rFonts w:ascii="Verdana" w:hAnsi="Verdana"/>
                <w:b/>
                <w:sz w:val="16"/>
              </w:rPr>
              <w:lastRenderedPageBreak/>
              <w:t>Kors</w:t>
            </w:r>
            <w:r w:rsidRPr="00360F70">
              <w:softHyphen/>
            </w:r>
            <w:r w:rsidRPr="00360F70">
              <w:rPr>
                <w:rFonts w:ascii="Verdana" w:hAnsi="Verdana"/>
                <w:b/>
                <w:sz w:val="16"/>
              </w:rPr>
              <w:t>kontaminering</w:t>
            </w:r>
            <w:proofErr w:type="spellEnd"/>
          </w:p>
        </w:tc>
        <w:tc>
          <w:tcPr>
            <w:tcW w:w="639"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865"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Måttlig</w:t>
            </w:r>
          </w:p>
        </w:tc>
        <w:tc>
          <w:tcPr>
            <w:tcW w:w="1417"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Måttlig</w:t>
            </w:r>
          </w:p>
        </w:tc>
        <w:tc>
          <w:tcPr>
            <w:tcW w:w="851" w:type="dxa"/>
            <w:tcBorders>
              <w:top w:val="single" w:sz="4" w:space="0" w:color="auto"/>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1701"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360F70" w:rsidRDefault="00B86C6B" w:rsidP="0068412B">
            <w:pPr>
              <w:widowControl w:val="0"/>
              <w:rPr>
                <w:rFonts w:ascii="Verdana" w:hAnsi="Verdana" w:cs="Tahoma"/>
                <w:sz w:val="16"/>
                <w:szCs w:val="16"/>
              </w:rPr>
            </w:pPr>
            <w:r w:rsidRPr="00360F70">
              <w:rPr>
                <w:rFonts w:ascii="Verdana" w:hAnsi="Verdana"/>
                <w:sz w:val="16"/>
              </w:rPr>
              <w:t xml:space="preserve">Dedikerade kretslopp och </w:t>
            </w:r>
            <w:r w:rsidR="0068412B">
              <w:rPr>
                <w:rFonts w:ascii="Verdana" w:hAnsi="Verdana"/>
                <w:sz w:val="16"/>
              </w:rPr>
              <w:t>lag</w:t>
            </w:r>
            <w:r w:rsidRPr="00360F70">
              <w:rPr>
                <w:rFonts w:ascii="Verdana" w:hAnsi="Verdana"/>
                <w:sz w:val="16"/>
              </w:rPr>
              <w:t xml:space="preserve">ringstankar </w:t>
            </w:r>
            <w:r w:rsidR="0068412B">
              <w:rPr>
                <w:rFonts w:ascii="Verdana" w:hAnsi="Verdana"/>
                <w:sz w:val="16"/>
              </w:rPr>
              <w:t>Lag</w:t>
            </w:r>
            <w:r w:rsidRPr="00360F70">
              <w:rPr>
                <w:rFonts w:ascii="Verdana" w:hAnsi="Verdana"/>
                <w:sz w:val="16"/>
              </w:rPr>
              <w:t>ringsrutiner ska finnas.</w:t>
            </w: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bl>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p w:rsidR="004E54A8" w:rsidRPr="00360F70"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86"/>
        <w:gridCol w:w="992"/>
        <w:gridCol w:w="1418"/>
        <w:gridCol w:w="850"/>
        <w:gridCol w:w="2268"/>
        <w:gridCol w:w="1843"/>
        <w:gridCol w:w="2551"/>
        <w:gridCol w:w="2127"/>
      </w:tblGrid>
      <w:tr w:rsidR="00C724B8" w:rsidRPr="00360F70" w:rsidTr="00396EC6">
        <w:trPr>
          <w:trHeight w:val="925"/>
        </w:trPr>
        <w:tc>
          <w:tcPr>
            <w:tcW w:w="5070" w:type="dxa"/>
            <w:gridSpan w:val="4"/>
            <w:tcBorders>
              <w:bottom w:val="single" w:sz="4" w:space="0" w:color="auto"/>
            </w:tcBorders>
            <w:shd w:val="clear" w:color="auto" w:fill="0DA72A"/>
            <w:tcMar>
              <w:top w:w="57" w:type="dxa"/>
              <w:bottom w:w="57" w:type="dxa"/>
            </w:tcMar>
            <w:vAlign w:val="center"/>
          </w:tcPr>
          <w:p w:rsidR="00C724B8" w:rsidRPr="00360F70" w:rsidRDefault="00E80F73" w:rsidP="00396EC6">
            <w:pPr>
              <w:widowControl w:val="0"/>
              <w:spacing w:before="20" w:after="20"/>
              <w:ind w:left="85" w:right="85"/>
              <w:rPr>
                <w:rFonts w:ascii="Verdana" w:hAnsi="Verdana" w:cs="Tahoma"/>
                <w:b/>
                <w:bCs/>
                <w:color w:val="FFFFFF"/>
                <w:sz w:val="28"/>
                <w:szCs w:val="28"/>
              </w:rPr>
            </w:pPr>
            <w:r w:rsidRPr="00360F70">
              <w:rPr>
                <w:rFonts w:ascii="Verdana" w:hAnsi="Verdana"/>
                <w:b/>
                <w:color w:val="FFFFFF"/>
                <w:sz w:val="32"/>
              </w:rPr>
              <w:t>8. Riskbaserad strategi för glycerin</w:t>
            </w:r>
          </w:p>
        </w:tc>
        <w:tc>
          <w:tcPr>
            <w:tcW w:w="9639" w:type="dxa"/>
            <w:gridSpan w:val="5"/>
            <w:tcBorders>
              <w:left w:val="nil"/>
              <w:bottom w:val="single" w:sz="4" w:space="0" w:color="auto"/>
            </w:tcBorders>
            <w:shd w:val="clear" w:color="auto" w:fill="0DA72A"/>
            <w:tcMar>
              <w:top w:w="57" w:type="dxa"/>
              <w:bottom w:w="57" w:type="dxa"/>
            </w:tcMar>
          </w:tcPr>
          <w:p w:rsidR="00C724B8" w:rsidRPr="00360F70" w:rsidRDefault="001E05FE" w:rsidP="00FB4DDD">
            <w:pPr>
              <w:widowControl w:val="0"/>
              <w:spacing w:before="20" w:after="20"/>
              <w:ind w:left="85" w:right="85"/>
              <w:rPr>
                <w:rFonts w:ascii="Verdana" w:hAnsi="Verdana" w:cs="Tahoma"/>
                <w:b/>
                <w:color w:val="FFFFFF"/>
                <w:sz w:val="28"/>
                <w:szCs w:val="28"/>
              </w:rPr>
            </w:pPr>
            <w:r w:rsidRPr="00360F70">
              <w:rPr>
                <w:rFonts w:ascii="Verdana" w:hAnsi="Verdana"/>
                <w:b/>
                <w:color w:val="FFFFFF"/>
                <w:sz w:val="28"/>
              </w:rPr>
              <w:t xml:space="preserve">8. Transport av glycerin </w:t>
            </w:r>
          </w:p>
        </w:tc>
      </w:tr>
      <w:tr w:rsidR="00B86C6B" w:rsidRPr="00360F70" w:rsidTr="00FF185B">
        <w:trPr>
          <w:trHeight w:val="315"/>
        </w:trPr>
        <w:tc>
          <w:tcPr>
            <w:tcW w:w="1974"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rPr>
                <w:rFonts w:ascii="Verdana" w:hAnsi="Verdana" w:cs="Tahoma"/>
                <w:b/>
                <w:bCs/>
                <w:color w:val="FFFFFF"/>
                <w:sz w:val="14"/>
                <w:szCs w:val="14"/>
              </w:rPr>
            </w:pPr>
            <w:r w:rsidRPr="00360F70">
              <w:rPr>
                <w:rFonts w:ascii="Verdana" w:hAnsi="Verdana"/>
                <w:b/>
                <w:color w:val="FFFFFF"/>
                <w:sz w:val="14"/>
              </w:rPr>
              <w:t xml:space="preserve">Fara </w:t>
            </w:r>
          </w:p>
        </w:tc>
        <w:tc>
          <w:tcPr>
            <w:tcW w:w="686"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Kat. </w:t>
            </w:r>
          </w:p>
        </w:tc>
        <w:tc>
          <w:tcPr>
            <w:tcW w:w="992"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 </w:t>
            </w:r>
          </w:p>
        </w:tc>
        <w:tc>
          <w:tcPr>
            <w:tcW w:w="1418"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Allvarlighet </w:t>
            </w:r>
          </w:p>
        </w:tc>
        <w:tc>
          <w:tcPr>
            <w:tcW w:w="850"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Risk-klass </w:t>
            </w:r>
          </w:p>
        </w:tc>
        <w:tc>
          <w:tcPr>
            <w:tcW w:w="2268"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Motivering</w:t>
            </w:r>
          </w:p>
        </w:tc>
        <w:tc>
          <w:tcPr>
            <w:tcW w:w="1843"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 xml:space="preserve">Lagstiftning, branschnormer och/eller kontraktsvillkor </w:t>
            </w:r>
          </w:p>
        </w:tc>
        <w:tc>
          <w:tcPr>
            <w:tcW w:w="2551"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b/>
                <w:bCs/>
                <w:color w:val="FFFFFF"/>
                <w:sz w:val="14"/>
                <w:szCs w:val="14"/>
              </w:rPr>
            </w:pPr>
            <w:r w:rsidRPr="00360F70">
              <w:rPr>
                <w:rFonts w:ascii="Verdana" w:hAnsi="Verdana"/>
                <w:b/>
                <w:color w:val="FFFFFF"/>
                <w:sz w:val="14"/>
              </w:rPr>
              <w:t>Kontrollåtgärd</w:t>
            </w:r>
            <w:r w:rsidR="00360F70">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B86C6B" w:rsidRPr="00360F70" w:rsidRDefault="00B86C6B" w:rsidP="004E54A8">
            <w:pPr>
              <w:widowControl w:val="0"/>
              <w:spacing w:before="20" w:after="20"/>
              <w:jc w:val="center"/>
              <w:rPr>
                <w:rFonts w:ascii="Verdana" w:hAnsi="Verdana" w:cs="Tahoma"/>
                <w:color w:val="FFFFFF"/>
                <w:sz w:val="14"/>
                <w:szCs w:val="14"/>
              </w:rPr>
            </w:pPr>
            <w:r w:rsidRPr="00360F70">
              <w:rPr>
                <w:rFonts w:ascii="Verdana" w:hAnsi="Verdana"/>
                <w:b/>
                <w:color w:val="FFFFFF"/>
                <w:sz w:val="14"/>
              </w:rPr>
              <w:t xml:space="preserve">Kommentarer </w:t>
            </w:r>
          </w:p>
        </w:tc>
      </w:tr>
      <w:tr w:rsidR="00B86C6B" w:rsidRPr="00360F70" w:rsidTr="00FF185B">
        <w:trPr>
          <w:trHeight w:val="224"/>
        </w:trPr>
        <w:tc>
          <w:tcPr>
            <w:tcW w:w="1974"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b/>
                <w:sz w:val="16"/>
              </w:rPr>
              <w:t>Kontaminering av föregående last</w:t>
            </w:r>
          </w:p>
        </w:tc>
        <w:tc>
          <w:tcPr>
            <w:tcW w:w="686"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P/C/B</w:t>
            </w:r>
          </w:p>
        </w:tc>
        <w:tc>
          <w:tcPr>
            <w:tcW w:w="992" w:type="dxa"/>
            <w:tcBorders>
              <w:bottom w:val="single" w:sz="4" w:space="0" w:color="auto"/>
            </w:tcBorders>
            <w:tcMar>
              <w:top w:w="85" w:type="dxa"/>
              <w:bottom w:w="85" w:type="dxa"/>
            </w:tcMar>
          </w:tcPr>
          <w:p w:rsidR="00B86C6B" w:rsidRPr="00360F70" w:rsidRDefault="00B86C6B" w:rsidP="00B86C6B">
            <w:pPr>
              <w:widowControl w:val="0"/>
              <w:jc w:val="center"/>
              <w:rPr>
                <w:rFonts w:ascii="Verdana" w:hAnsi="Verdana" w:cs="Tahoma"/>
                <w:sz w:val="16"/>
                <w:szCs w:val="16"/>
              </w:rPr>
            </w:pPr>
            <w:r w:rsidRPr="00360F70">
              <w:rPr>
                <w:rFonts w:ascii="Verdana" w:hAnsi="Verdana"/>
                <w:sz w:val="16"/>
              </w:rPr>
              <w:t>Liten</w:t>
            </w:r>
          </w:p>
        </w:tc>
        <w:tc>
          <w:tcPr>
            <w:tcW w:w="1418" w:type="dxa"/>
            <w:tcBorders>
              <w:bottom w:val="single" w:sz="4" w:space="0" w:color="auto"/>
            </w:tcBorders>
            <w:tcMar>
              <w:top w:w="85" w:type="dxa"/>
              <w:bottom w:w="85" w:type="dxa"/>
            </w:tcMar>
          </w:tcPr>
          <w:p w:rsidR="00B86C6B" w:rsidRPr="00360F70" w:rsidRDefault="00B86C6B" w:rsidP="00B86C6B">
            <w:pPr>
              <w:widowControl w:val="0"/>
              <w:jc w:val="center"/>
              <w:rPr>
                <w:rFonts w:ascii="Verdana" w:hAnsi="Verdana" w:cs="Tahoma"/>
                <w:sz w:val="16"/>
                <w:szCs w:val="16"/>
              </w:rPr>
            </w:pPr>
            <w:r w:rsidRPr="00360F70">
              <w:rPr>
                <w:rFonts w:ascii="Verdana" w:hAnsi="Verdana"/>
                <w:sz w:val="16"/>
              </w:rPr>
              <w:t>Måttlig</w:t>
            </w:r>
          </w:p>
        </w:tc>
        <w:tc>
          <w:tcPr>
            <w:tcW w:w="850" w:type="dxa"/>
            <w:tcBorders>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2</w:t>
            </w:r>
          </w:p>
        </w:tc>
        <w:tc>
          <w:tcPr>
            <w:tcW w:w="2268" w:type="dxa"/>
            <w:tcBorders>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p>
        </w:tc>
        <w:tc>
          <w:tcPr>
            <w:tcW w:w="1843"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Kontroll av de föregående tre lasterna.</w:t>
            </w:r>
          </w:p>
        </w:tc>
        <w:tc>
          <w:tcPr>
            <w:tcW w:w="2127" w:type="dxa"/>
            <w:tcBorders>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FF185B">
        <w:trPr>
          <w:trHeight w:val="1011"/>
        </w:trPr>
        <w:tc>
          <w:tcPr>
            <w:tcW w:w="1974"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sz w:val="16"/>
                <w:szCs w:val="16"/>
              </w:rPr>
            </w:pPr>
            <w:proofErr w:type="gramStart"/>
            <w:r w:rsidRPr="00360F70">
              <w:rPr>
                <w:rFonts w:ascii="Verdana" w:hAnsi="Verdana"/>
                <w:b/>
                <w:sz w:val="16"/>
              </w:rPr>
              <w:t>-</w:t>
            </w:r>
            <w:proofErr w:type="gramEnd"/>
            <w:r w:rsidRPr="00360F70">
              <w:rPr>
                <w:rFonts w:ascii="Verdana" w:hAnsi="Verdana"/>
                <w:b/>
                <w:sz w:val="16"/>
              </w:rPr>
              <w:t xml:space="preserve"> Tankbilar, järnvägstankar och pråmar</w:t>
            </w:r>
          </w:p>
        </w:tc>
        <w:tc>
          <w:tcPr>
            <w:tcW w:w="686"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992"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360F70" w:rsidRDefault="00B86C6B" w:rsidP="00CE02F7">
            <w:pPr>
              <w:widowControl w:val="0"/>
              <w:rPr>
                <w:rFonts w:ascii="Verdana" w:hAnsi="Verdana" w:cs="Tahoma"/>
                <w:sz w:val="16"/>
                <w:szCs w:val="16"/>
              </w:rPr>
            </w:pPr>
            <w:r w:rsidRPr="00360F70">
              <w:rPr>
                <w:rFonts w:ascii="Verdana" w:hAnsi="Verdana"/>
                <w:sz w:val="16"/>
              </w:rPr>
              <w:t>Transport av glycerin baseras på kundens krav</w:t>
            </w:r>
          </w:p>
        </w:tc>
        <w:tc>
          <w:tcPr>
            <w:tcW w:w="1843"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I förordning (EG) nr 183/2005 fastställs regler för transport av foderråvaror</w:t>
            </w:r>
          </w:p>
          <w:p w:rsidR="00B86C6B" w:rsidRPr="00360F70"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 xml:space="preserve">Kontrollera föregående laster via </w:t>
            </w:r>
            <w:hyperlink r:id="rId23">
              <w:r w:rsidRPr="00360F70">
                <w:rPr>
                  <w:rStyle w:val="Hyperlink"/>
                  <w:rFonts w:ascii="Verdana" w:hAnsi="Verdana"/>
                  <w:sz w:val="16"/>
                </w:rPr>
                <w:t>databasen IDTF</w:t>
              </w:r>
            </w:hyperlink>
            <w:r w:rsidRPr="00360F70">
              <w:t>.</w:t>
            </w:r>
          </w:p>
          <w:p w:rsidR="00B86C6B" w:rsidRPr="00360F70" w:rsidRDefault="00B86C6B" w:rsidP="004E54A8">
            <w:pPr>
              <w:widowControl w:val="0"/>
              <w:rPr>
                <w:rFonts w:ascii="Verdana" w:hAnsi="Verdana" w:cs="Tahoma"/>
                <w:sz w:val="16"/>
                <w:szCs w:val="16"/>
              </w:rPr>
            </w:pPr>
            <w:r w:rsidRPr="00360F70">
              <w:rPr>
                <w:rFonts w:ascii="Verdana" w:hAnsi="Verdana"/>
                <w:sz w:val="16"/>
              </w:rPr>
              <w:t>Transport som lämpar sig för foderråvaror enligt beskrivning i de europeiska riktlinjerna för industriell framställning av säkra foderråvaror.</w:t>
            </w: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FF185B">
        <w:trPr>
          <w:trHeight w:val="224"/>
        </w:trPr>
        <w:tc>
          <w:tcPr>
            <w:tcW w:w="1974"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bCs/>
                <w:sz w:val="16"/>
                <w:szCs w:val="16"/>
              </w:rPr>
            </w:pPr>
            <w:r w:rsidRPr="00360F70">
              <w:rPr>
                <w:rFonts w:ascii="Verdana" w:hAnsi="Verdana"/>
                <w:b/>
                <w:sz w:val="16"/>
              </w:rPr>
              <w:t>Kontaminering med rengöringsmedel</w:t>
            </w:r>
          </w:p>
        </w:tc>
        <w:tc>
          <w:tcPr>
            <w:tcW w:w="686"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C</w:t>
            </w:r>
          </w:p>
        </w:tc>
        <w:tc>
          <w:tcPr>
            <w:tcW w:w="992"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 xml:space="preserve">Liten </w:t>
            </w:r>
          </w:p>
        </w:tc>
        <w:tc>
          <w:tcPr>
            <w:tcW w:w="1418"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right"/>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F6611" w:rsidRPr="00360F70" w:rsidRDefault="009F6611" w:rsidP="009F6611">
            <w:pPr>
              <w:pStyle w:val="Default"/>
              <w:rPr>
                <w:rFonts w:ascii="Verdana" w:hAnsi="Verdana"/>
                <w:sz w:val="16"/>
                <w:szCs w:val="16"/>
              </w:rPr>
            </w:pPr>
            <w:r w:rsidRPr="00360F70">
              <w:rPr>
                <w:rFonts w:ascii="Verdana" w:hAnsi="Verdana"/>
                <w:sz w:val="16"/>
              </w:rPr>
              <w:t xml:space="preserve">Rengöringsmedel som används i behållare som ska användas för transport av glycerin ska spolas bort. De rengöringsmedel som används ska utvärderas avseende potentiella risker och lämpliga åtgärder ska vidtas för att minska risken till godtagbara nivåer. </w:t>
            </w:r>
          </w:p>
          <w:p w:rsidR="00B86C6B" w:rsidRPr="00360F70" w:rsidRDefault="009F6611" w:rsidP="00396EC6">
            <w:pPr>
              <w:pStyle w:val="Default"/>
              <w:rPr>
                <w:rFonts w:asciiTheme="minorHAnsi" w:hAnsiTheme="minorHAnsi"/>
                <w:sz w:val="18"/>
                <w:szCs w:val="18"/>
              </w:rPr>
            </w:pPr>
            <w:r w:rsidRPr="00360F70">
              <w:rPr>
                <w:rFonts w:ascii="Verdana" w:hAnsi="Verdana"/>
                <w:sz w:val="16"/>
              </w:rPr>
              <w:t>Risken är inte vanlig, eftersom dedikerade transportbehållare oftast används.</w:t>
            </w: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FF185B">
        <w:trPr>
          <w:cantSplit/>
          <w:trHeight w:val="448"/>
        </w:trPr>
        <w:tc>
          <w:tcPr>
            <w:tcW w:w="1974"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sz w:val="16"/>
                <w:szCs w:val="16"/>
              </w:rPr>
            </w:pPr>
            <w:r w:rsidRPr="00360F70">
              <w:rPr>
                <w:rFonts w:ascii="Verdana" w:hAnsi="Verdana"/>
                <w:b/>
                <w:sz w:val="16"/>
              </w:rPr>
              <w:lastRenderedPageBreak/>
              <w:t xml:space="preserve">Tankbilar </w:t>
            </w:r>
          </w:p>
        </w:tc>
        <w:tc>
          <w:tcPr>
            <w:tcW w:w="686"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C</w:t>
            </w:r>
          </w:p>
        </w:tc>
        <w:tc>
          <w:tcPr>
            <w:tcW w:w="992"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850"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1</w:t>
            </w:r>
          </w:p>
        </w:tc>
        <w:tc>
          <w:tcPr>
            <w:tcW w:w="2268"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 xml:space="preserve">Tankar av rostfritt stål används, som värms upp med kylvatten från motorn via ett system med dubbla väggar (inte slingor). </w:t>
            </w:r>
          </w:p>
        </w:tc>
        <w:tc>
          <w:tcPr>
            <w:tcW w:w="1843"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FF185B">
        <w:trPr>
          <w:cantSplit/>
          <w:trHeight w:val="340"/>
        </w:trPr>
        <w:tc>
          <w:tcPr>
            <w:tcW w:w="1974"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bCs/>
                <w:sz w:val="16"/>
                <w:szCs w:val="16"/>
              </w:rPr>
            </w:pPr>
            <w:r w:rsidRPr="00360F70">
              <w:rPr>
                <w:rFonts w:ascii="Verdana" w:hAnsi="Verdana"/>
                <w:b/>
                <w:sz w:val="16"/>
              </w:rPr>
              <w:t>Främmande ämnen</w:t>
            </w:r>
          </w:p>
        </w:tc>
        <w:tc>
          <w:tcPr>
            <w:tcW w:w="686"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P</w:t>
            </w:r>
          </w:p>
        </w:tc>
        <w:tc>
          <w:tcPr>
            <w:tcW w:w="992"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Liten</w:t>
            </w:r>
          </w:p>
        </w:tc>
        <w:tc>
          <w:tcPr>
            <w:tcW w:w="1418" w:type="dxa"/>
            <w:tcBorders>
              <w:top w:val="single" w:sz="4" w:space="0" w:color="auto"/>
              <w:bottom w:val="single" w:sz="4" w:space="0" w:color="auto"/>
            </w:tcBorders>
            <w:tcMar>
              <w:top w:w="85" w:type="dxa"/>
              <w:bottom w:w="85" w:type="dxa"/>
            </w:tcMar>
          </w:tcPr>
          <w:p w:rsidR="00B86C6B" w:rsidRPr="00360F70" w:rsidRDefault="00FF185B" w:rsidP="004E54A8">
            <w:pPr>
              <w:widowControl w:val="0"/>
              <w:jc w:val="center"/>
              <w:rPr>
                <w:rFonts w:ascii="Verdana" w:hAnsi="Verdana" w:cs="Tahoma"/>
                <w:sz w:val="16"/>
                <w:szCs w:val="16"/>
              </w:rPr>
            </w:pPr>
            <w:r w:rsidRPr="00360F70">
              <w:rPr>
                <w:rFonts w:ascii="Verdana" w:hAnsi="Verdana"/>
                <w:sz w:val="16"/>
              </w:rPr>
              <w:t>Stor</w:t>
            </w:r>
          </w:p>
        </w:tc>
        <w:tc>
          <w:tcPr>
            <w:tcW w:w="850" w:type="dxa"/>
            <w:tcBorders>
              <w:top w:val="single" w:sz="4" w:space="0" w:color="auto"/>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360F70" w:rsidRDefault="00B86C6B" w:rsidP="00C46A1D">
            <w:pPr>
              <w:widowControl w:val="0"/>
              <w:rPr>
                <w:rFonts w:ascii="Verdana" w:hAnsi="Verdana" w:cs="Tahoma"/>
                <w:sz w:val="16"/>
                <w:szCs w:val="16"/>
              </w:rPr>
            </w:pPr>
            <w:r w:rsidRPr="00360F70">
              <w:rPr>
                <w:rFonts w:ascii="Verdana" w:hAnsi="Verdana"/>
                <w:sz w:val="16"/>
              </w:rPr>
              <w:t>Det ska finnas en kvalitetsplan som kräver att tankbilar lastas med glycerin under tak.</w:t>
            </w: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r>
      <w:tr w:rsidR="00B86C6B" w:rsidRPr="00360F70" w:rsidTr="00FF185B">
        <w:trPr>
          <w:cantSplit/>
          <w:trHeight w:val="340"/>
        </w:trPr>
        <w:tc>
          <w:tcPr>
            <w:tcW w:w="1974"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b/>
                <w:bCs/>
                <w:sz w:val="16"/>
                <w:szCs w:val="16"/>
              </w:rPr>
            </w:pPr>
            <w:r w:rsidRPr="00360F70">
              <w:rPr>
                <w:rFonts w:ascii="Verdana" w:hAnsi="Verdana"/>
                <w:b/>
                <w:sz w:val="16"/>
              </w:rPr>
              <w:t xml:space="preserve">Skadedjur </w:t>
            </w:r>
          </w:p>
        </w:tc>
        <w:tc>
          <w:tcPr>
            <w:tcW w:w="686"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B</w:t>
            </w:r>
          </w:p>
        </w:tc>
        <w:tc>
          <w:tcPr>
            <w:tcW w:w="992"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Måttlig</w:t>
            </w:r>
          </w:p>
        </w:tc>
        <w:tc>
          <w:tcPr>
            <w:tcW w:w="1418" w:type="dxa"/>
            <w:tcBorders>
              <w:top w:val="single" w:sz="4" w:space="0" w:color="auto"/>
              <w:bottom w:val="single" w:sz="4" w:space="0" w:color="auto"/>
            </w:tcBorders>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Måttlig</w:t>
            </w:r>
          </w:p>
        </w:tc>
        <w:tc>
          <w:tcPr>
            <w:tcW w:w="850" w:type="dxa"/>
            <w:tcBorders>
              <w:top w:val="single" w:sz="4" w:space="0" w:color="auto"/>
              <w:bottom w:val="single" w:sz="4" w:space="0" w:color="auto"/>
            </w:tcBorders>
            <w:shd w:val="clear" w:color="auto" w:fill="FFC000"/>
            <w:tcMar>
              <w:top w:w="85" w:type="dxa"/>
              <w:bottom w:w="85" w:type="dxa"/>
            </w:tcMar>
          </w:tcPr>
          <w:p w:rsidR="00B86C6B" w:rsidRPr="00360F70" w:rsidRDefault="00B86C6B" w:rsidP="004E54A8">
            <w:pPr>
              <w:widowControl w:val="0"/>
              <w:jc w:val="center"/>
              <w:rPr>
                <w:rFonts w:ascii="Verdana" w:hAnsi="Verdana" w:cs="Tahoma"/>
                <w:sz w:val="16"/>
                <w:szCs w:val="16"/>
              </w:rPr>
            </w:pPr>
            <w:r w:rsidRPr="00360F70">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360F70" w:rsidRDefault="00B86C6B" w:rsidP="00C46A1D">
            <w:pPr>
              <w:widowControl w:val="0"/>
              <w:rPr>
                <w:rFonts w:ascii="Verdana" w:hAnsi="Verdana" w:cs="Tahoma"/>
                <w:sz w:val="16"/>
                <w:szCs w:val="16"/>
              </w:rPr>
            </w:pPr>
            <w:r w:rsidRPr="00360F70">
              <w:rPr>
                <w:rFonts w:ascii="Verdana" w:hAnsi="Verdana"/>
                <w:sz w:val="16"/>
              </w:rPr>
              <w:t>PRP-program för skadedjursbekämpning.</w:t>
            </w:r>
          </w:p>
        </w:tc>
        <w:tc>
          <w:tcPr>
            <w:tcW w:w="2127" w:type="dxa"/>
            <w:tcBorders>
              <w:top w:val="single" w:sz="4" w:space="0" w:color="auto"/>
              <w:bottom w:val="single" w:sz="4" w:space="0" w:color="auto"/>
            </w:tcBorders>
            <w:tcMar>
              <w:top w:w="85" w:type="dxa"/>
              <w:bottom w:w="85" w:type="dxa"/>
            </w:tcMar>
          </w:tcPr>
          <w:p w:rsidR="00B86C6B" w:rsidRPr="00360F70" w:rsidRDefault="00B86C6B" w:rsidP="004E54A8">
            <w:pPr>
              <w:widowControl w:val="0"/>
              <w:rPr>
                <w:rFonts w:ascii="Verdana" w:hAnsi="Verdana" w:cs="Tahoma"/>
                <w:sz w:val="16"/>
                <w:szCs w:val="16"/>
              </w:rPr>
            </w:pPr>
            <w:r w:rsidRPr="00360F70">
              <w:rPr>
                <w:rFonts w:ascii="Verdana" w:hAnsi="Verdana"/>
                <w:sz w:val="16"/>
              </w:rPr>
              <w:t>Kontroller av skadedjursaktivitet</w:t>
            </w:r>
          </w:p>
        </w:tc>
      </w:tr>
    </w:tbl>
    <w:p w:rsidR="00183009" w:rsidRPr="00360F70" w:rsidRDefault="00183009" w:rsidP="004E54A8">
      <w:pPr>
        <w:rPr>
          <w:rFonts w:ascii="Verdana" w:hAnsi="Verdana"/>
        </w:rPr>
        <w:sectPr w:rsidR="00183009" w:rsidRPr="00360F70" w:rsidSect="009218C6">
          <w:headerReference w:type="default" r:id="rId24"/>
          <w:pgSz w:w="15840" w:h="12240" w:orient="landscape"/>
          <w:pgMar w:top="1134" w:right="851" w:bottom="284" w:left="851" w:header="720" w:footer="720" w:gutter="0"/>
          <w:cols w:space="720"/>
          <w:docGrid w:linePitch="360"/>
        </w:sectPr>
      </w:pPr>
    </w:p>
    <w:p w:rsidR="00E33DAE" w:rsidRPr="00360F70" w:rsidRDefault="00E33DAE" w:rsidP="008675C9">
      <w:pPr>
        <w:pStyle w:val="Heading1"/>
        <w:numPr>
          <w:ilvl w:val="0"/>
          <w:numId w:val="0"/>
        </w:numPr>
        <w:ind w:left="432"/>
        <w:rPr>
          <w:rFonts w:ascii="Verdana" w:hAnsi="Verdana" w:cs="Tahoma"/>
          <w:sz w:val="20"/>
          <w:szCs w:val="20"/>
        </w:rPr>
      </w:pPr>
    </w:p>
    <w:p w:rsidR="002E52C2" w:rsidRPr="00360F70" w:rsidRDefault="00E80F73" w:rsidP="00E80F73">
      <w:pPr>
        <w:pStyle w:val="Heading1"/>
        <w:numPr>
          <w:ilvl w:val="0"/>
          <w:numId w:val="0"/>
        </w:numPr>
        <w:rPr>
          <w:rFonts w:ascii="Verdana" w:hAnsi="Verdana"/>
        </w:rPr>
      </w:pPr>
      <w:bookmarkStart w:id="75" w:name="_Toc354998630"/>
      <w:bookmarkStart w:id="76" w:name="_Toc438114555"/>
      <w:r w:rsidRPr="00360F70">
        <w:rPr>
          <w:rFonts w:ascii="Verdana" w:hAnsi="Verdana"/>
        </w:rPr>
        <w:t>9. Minimikrav för övervakning</w:t>
      </w:r>
      <w:bookmarkEnd w:id="75"/>
      <w:bookmarkEnd w:id="76"/>
    </w:p>
    <w:p w:rsidR="00816A4D" w:rsidRPr="00360F70" w:rsidRDefault="00816A4D" w:rsidP="006D3ABA">
      <w:pPr>
        <w:jc w:val="both"/>
        <w:rPr>
          <w:rFonts w:ascii="Verdana" w:hAnsi="Verdana" w:cs="Tahoma"/>
          <w:szCs w:val="20"/>
        </w:rPr>
      </w:pPr>
    </w:p>
    <w:p w:rsidR="007D5256" w:rsidRPr="00360F70" w:rsidRDefault="00DB5BD0" w:rsidP="006D3ABA">
      <w:pPr>
        <w:jc w:val="both"/>
        <w:rPr>
          <w:rFonts w:ascii="Verdana" w:hAnsi="Verdana" w:cs="Tahoma"/>
          <w:szCs w:val="20"/>
        </w:rPr>
      </w:pPr>
      <w:r w:rsidRPr="00360F70">
        <w:rPr>
          <w:rFonts w:ascii="Verdana" w:hAnsi="Verdana"/>
        </w:rPr>
        <w:t xml:space="preserve">Deltagare i EFISC-systemet ska tillämpa en övervakningsplan i enlighet med EFISC-koden punkt 4.4.3. </w:t>
      </w:r>
    </w:p>
    <w:p w:rsidR="00DB5BD0" w:rsidRPr="00360F70" w:rsidRDefault="00DB5BD0" w:rsidP="006D3ABA">
      <w:pPr>
        <w:jc w:val="both"/>
        <w:rPr>
          <w:rFonts w:ascii="Verdana" w:hAnsi="Verdana" w:cs="Tahoma"/>
          <w:szCs w:val="20"/>
        </w:rPr>
      </w:pPr>
    </w:p>
    <w:p w:rsidR="00DB5BD0" w:rsidRPr="00360F70" w:rsidRDefault="00DB5BD0" w:rsidP="006D3ABA">
      <w:pPr>
        <w:jc w:val="both"/>
        <w:rPr>
          <w:rFonts w:ascii="Verdana" w:hAnsi="Verdana" w:cs="Tahoma"/>
          <w:szCs w:val="20"/>
        </w:rPr>
      </w:pPr>
      <w:r w:rsidRPr="00360F70">
        <w:rPr>
          <w:rFonts w:ascii="Verdana" w:hAnsi="Verdana"/>
        </w:rPr>
        <w:t>I det fall det inte finns tillräckliga uppgifter för en riskbedömning ska följande minimikrav för övervakning gälla. Det minsta antalet analyser beror på volymen foderråvaror i ton som tillverkas på en anläggning enligt tabellerna nedan.</w:t>
      </w:r>
    </w:p>
    <w:p w:rsidR="002C2C5A" w:rsidRPr="00360F70" w:rsidRDefault="002C2C5A" w:rsidP="006D3ABA">
      <w:pPr>
        <w:jc w:val="both"/>
        <w:rPr>
          <w:rFonts w:ascii="Verdana" w:hAnsi="Verdana" w:cs="Tahoma"/>
          <w:szCs w:val="20"/>
        </w:rPr>
      </w:pPr>
    </w:p>
    <w:p w:rsidR="00DB5BD0" w:rsidRPr="00360F70" w:rsidRDefault="00DB5BD0" w:rsidP="00D86426">
      <w:pPr>
        <w:autoSpaceDE w:val="0"/>
        <w:autoSpaceDN w:val="0"/>
        <w:adjustRightInd w:val="0"/>
        <w:rPr>
          <w:rFonts w:ascii="Verdana" w:hAnsi="Verdana" w:cs="Tahoma"/>
          <w:b/>
          <w:bCs/>
          <w:szCs w:val="20"/>
        </w:rPr>
      </w:pPr>
    </w:p>
    <w:p w:rsidR="00D86426" w:rsidRPr="00360F70" w:rsidRDefault="00AB104D" w:rsidP="00D86426">
      <w:pPr>
        <w:autoSpaceDE w:val="0"/>
        <w:autoSpaceDN w:val="0"/>
        <w:adjustRightInd w:val="0"/>
        <w:rPr>
          <w:rFonts w:ascii="Verdana" w:hAnsi="Verdana" w:cs="Tahoma"/>
          <w:b/>
          <w:bCs/>
          <w:szCs w:val="20"/>
          <w:u w:val="single"/>
        </w:rPr>
      </w:pPr>
      <w:r w:rsidRPr="00360F70">
        <w:rPr>
          <w:rFonts w:ascii="Verdana" w:hAnsi="Verdana"/>
          <w:b/>
          <w:u w:val="single"/>
        </w:rPr>
        <w:t>Minimikrav för övervakning för glycerin som sidoprodukt vid bearbetning av vegetabilisk olja</w:t>
      </w:r>
    </w:p>
    <w:p w:rsidR="00AB104D" w:rsidRPr="00360F70" w:rsidRDefault="00AB104D" w:rsidP="00D86426">
      <w:pPr>
        <w:autoSpaceDE w:val="0"/>
        <w:autoSpaceDN w:val="0"/>
        <w:adjustRightInd w:val="0"/>
        <w:rPr>
          <w:rFonts w:ascii="Verdana" w:hAnsi="Verdana" w:cs="Tahoma"/>
          <w:szCs w:val="20"/>
        </w:rPr>
      </w:pPr>
    </w:p>
    <w:p w:rsidR="00D86426" w:rsidRPr="00360F70" w:rsidRDefault="00DB5BD0" w:rsidP="00D86426">
      <w:pPr>
        <w:autoSpaceDE w:val="0"/>
        <w:autoSpaceDN w:val="0"/>
        <w:adjustRightInd w:val="0"/>
        <w:rPr>
          <w:rFonts w:ascii="Verdana" w:hAnsi="Verdana" w:cs="Tahoma"/>
          <w:b/>
          <w:szCs w:val="20"/>
        </w:rPr>
      </w:pPr>
      <w:r w:rsidRPr="00360F70">
        <w:rPr>
          <w:rFonts w:ascii="Verdana" w:hAnsi="Verdana"/>
          <w:b/>
        </w:rPr>
        <w:t xml:space="preserve">Tabell A – Glycerin och rå glycerin </w:t>
      </w:r>
    </w:p>
    <w:p w:rsidR="00D86426" w:rsidRPr="00360F70" w:rsidRDefault="00D86426" w:rsidP="00D86426">
      <w:pPr>
        <w:autoSpaceDE w:val="0"/>
        <w:autoSpaceDN w:val="0"/>
        <w:adjustRightInd w:val="0"/>
        <w:rPr>
          <w:rFonts w:ascii="Verdana" w:hAnsi="Verdana"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558"/>
        <w:gridCol w:w="1418"/>
      </w:tblGrid>
      <w:tr w:rsidR="00687C0E" w:rsidRPr="00360F70" w:rsidTr="007B1792">
        <w:trPr>
          <w:jc w:val="center"/>
        </w:trPr>
        <w:tc>
          <w:tcPr>
            <w:tcW w:w="2943" w:type="dxa"/>
            <w:shd w:val="clear" w:color="auto" w:fill="DBE5F1"/>
          </w:tcPr>
          <w:p w:rsidR="00687C0E" w:rsidRPr="00360F70" w:rsidRDefault="00687C0E" w:rsidP="00446691">
            <w:pPr>
              <w:autoSpaceDE w:val="0"/>
              <w:autoSpaceDN w:val="0"/>
              <w:adjustRightInd w:val="0"/>
              <w:rPr>
                <w:rFonts w:ascii="Verdana" w:hAnsi="Verdana" w:cs="Tahoma"/>
                <w:b/>
                <w:szCs w:val="20"/>
              </w:rPr>
            </w:pPr>
            <w:r w:rsidRPr="00360F70">
              <w:rPr>
                <w:rFonts w:ascii="Verdana" w:hAnsi="Verdana"/>
                <w:b/>
              </w:rPr>
              <w:t>Årlig produktion i ton</w:t>
            </w:r>
          </w:p>
          <w:p w:rsidR="00687C0E" w:rsidRPr="00360F70" w:rsidRDefault="00687C0E" w:rsidP="00446691">
            <w:pPr>
              <w:autoSpaceDE w:val="0"/>
              <w:autoSpaceDN w:val="0"/>
              <w:adjustRightInd w:val="0"/>
              <w:rPr>
                <w:rFonts w:ascii="Verdana" w:hAnsi="Verdana" w:cs="Tahoma"/>
                <w:b/>
                <w:szCs w:val="20"/>
              </w:rPr>
            </w:pPr>
            <w:r w:rsidRPr="00360F70">
              <w:rPr>
                <w:rFonts w:ascii="Verdana" w:hAnsi="Verdana"/>
                <w:b/>
              </w:rPr>
              <w:t>Parameter</w:t>
            </w:r>
          </w:p>
        </w:tc>
        <w:tc>
          <w:tcPr>
            <w:tcW w:w="1418" w:type="dxa"/>
            <w:shd w:val="clear" w:color="auto" w:fill="DBE5F1"/>
          </w:tcPr>
          <w:p w:rsidR="00687C0E" w:rsidRPr="00360F70" w:rsidRDefault="00761399" w:rsidP="00446691">
            <w:pPr>
              <w:autoSpaceDE w:val="0"/>
              <w:autoSpaceDN w:val="0"/>
              <w:adjustRightInd w:val="0"/>
              <w:rPr>
                <w:rFonts w:ascii="Verdana" w:hAnsi="Verdana" w:cs="Tahoma"/>
                <w:b/>
                <w:bCs/>
                <w:szCs w:val="20"/>
              </w:rPr>
            </w:pPr>
            <w:r>
              <w:rPr>
                <w:rFonts w:ascii="Verdana" w:hAnsi="Verdana" w:cs="Tahoma"/>
                <w:b/>
                <w:bCs/>
                <w:szCs w:val="20"/>
                <w:lang w:val="fr-BE" w:eastAsia="en-GB"/>
              </w:rPr>
              <w:t>≤</w:t>
            </w:r>
            <w:r w:rsidR="00687C0E" w:rsidRPr="00360F70">
              <w:rPr>
                <w:rFonts w:ascii="Verdana" w:hAnsi="Verdana"/>
                <w:b/>
              </w:rPr>
              <w:t> 10 000 ton</w:t>
            </w:r>
          </w:p>
          <w:p w:rsidR="00687C0E" w:rsidRPr="00360F70" w:rsidRDefault="00687C0E" w:rsidP="00446691">
            <w:pPr>
              <w:autoSpaceDE w:val="0"/>
              <w:autoSpaceDN w:val="0"/>
              <w:adjustRightInd w:val="0"/>
              <w:rPr>
                <w:rFonts w:ascii="Verdana" w:hAnsi="Verdana" w:cs="Tahoma"/>
                <w:szCs w:val="20"/>
              </w:rPr>
            </w:pPr>
          </w:p>
        </w:tc>
        <w:tc>
          <w:tcPr>
            <w:tcW w:w="1558" w:type="dxa"/>
            <w:shd w:val="clear" w:color="auto" w:fill="DBE5F1"/>
          </w:tcPr>
          <w:p w:rsidR="00687C0E" w:rsidRPr="00360F70" w:rsidRDefault="00687C0E" w:rsidP="00446691">
            <w:pPr>
              <w:autoSpaceDE w:val="0"/>
              <w:autoSpaceDN w:val="0"/>
              <w:adjustRightInd w:val="0"/>
              <w:rPr>
                <w:rFonts w:ascii="Verdana" w:hAnsi="Verdana" w:cs="Tahoma"/>
                <w:b/>
                <w:bCs/>
                <w:szCs w:val="20"/>
              </w:rPr>
            </w:pPr>
            <w:r w:rsidRPr="00360F70">
              <w:rPr>
                <w:rFonts w:ascii="Verdana" w:hAnsi="Verdana"/>
                <w:b/>
              </w:rPr>
              <w:t>&gt; 10 000 –</w:t>
            </w:r>
          </w:p>
          <w:p w:rsidR="00687C0E" w:rsidRPr="00360F70" w:rsidRDefault="00761399" w:rsidP="00446691">
            <w:pPr>
              <w:autoSpaceDE w:val="0"/>
              <w:autoSpaceDN w:val="0"/>
              <w:adjustRightInd w:val="0"/>
              <w:rPr>
                <w:rFonts w:ascii="Verdana" w:hAnsi="Verdana" w:cs="Tahoma"/>
                <w:b/>
                <w:bCs/>
                <w:szCs w:val="20"/>
              </w:rPr>
            </w:pPr>
            <w:r>
              <w:rPr>
                <w:rFonts w:ascii="Verdana" w:hAnsi="Verdana" w:cs="Tahoma"/>
                <w:b/>
                <w:bCs/>
                <w:szCs w:val="20"/>
                <w:lang w:val="fr-BE" w:eastAsia="en-GB"/>
              </w:rPr>
              <w:t>≤</w:t>
            </w:r>
            <w:bookmarkStart w:id="77" w:name="_GoBack"/>
            <w:bookmarkEnd w:id="77"/>
            <w:r w:rsidR="00687C0E" w:rsidRPr="00360F70">
              <w:rPr>
                <w:rFonts w:ascii="Verdana" w:hAnsi="Verdana"/>
                <w:b/>
              </w:rPr>
              <w:t> 20 000 ton</w:t>
            </w:r>
          </w:p>
          <w:p w:rsidR="00687C0E" w:rsidRPr="00360F70" w:rsidRDefault="00687C0E" w:rsidP="00446691">
            <w:pPr>
              <w:autoSpaceDE w:val="0"/>
              <w:autoSpaceDN w:val="0"/>
              <w:adjustRightInd w:val="0"/>
              <w:rPr>
                <w:rFonts w:ascii="Verdana" w:hAnsi="Verdana" w:cs="Tahoma"/>
                <w:szCs w:val="20"/>
              </w:rPr>
            </w:pPr>
          </w:p>
        </w:tc>
        <w:tc>
          <w:tcPr>
            <w:tcW w:w="1418" w:type="dxa"/>
            <w:shd w:val="clear" w:color="auto" w:fill="DBE5F1"/>
          </w:tcPr>
          <w:p w:rsidR="00687C0E" w:rsidRPr="00360F70" w:rsidRDefault="00687C0E" w:rsidP="00446691">
            <w:pPr>
              <w:autoSpaceDE w:val="0"/>
              <w:autoSpaceDN w:val="0"/>
              <w:adjustRightInd w:val="0"/>
              <w:rPr>
                <w:rFonts w:ascii="Verdana" w:hAnsi="Verdana" w:cs="Tahoma"/>
                <w:b/>
                <w:bCs/>
                <w:szCs w:val="20"/>
              </w:rPr>
            </w:pPr>
            <w:r w:rsidRPr="00360F70">
              <w:rPr>
                <w:rFonts w:ascii="Verdana" w:hAnsi="Verdana"/>
                <w:b/>
              </w:rPr>
              <w:t>&gt; 20 000 ton</w:t>
            </w:r>
          </w:p>
          <w:p w:rsidR="00687C0E" w:rsidRPr="00360F70" w:rsidRDefault="00687C0E" w:rsidP="00446691">
            <w:pPr>
              <w:autoSpaceDE w:val="0"/>
              <w:autoSpaceDN w:val="0"/>
              <w:adjustRightInd w:val="0"/>
              <w:rPr>
                <w:rFonts w:ascii="Verdana" w:hAnsi="Verdana" w:cs="Tahoma"/>
                <w:szCs w:val="20"/>
              </w:rPr>
            </w:pPr>
          </w:p>
        </w:tc>
      </w:tr>
      <w:tr w:rsidR="00687C0E" w:rsidRPr="00360F70" w:rsidTr="007B1792">
        <w:trPr>
          <w:jc w:val="center"/>
        </w:trPr>
        <w:tc>
          <w:tcPr>
            <w:tcW w:w="2943" w:type="dxa"/>
          </w:tcPr>
          <w:p w:rsidR="00687C0E" w:rsidRPr="00360F70" w:rsidRDefault="00687C0E" w:rsidP="00446691">
            <w:pPr>
              <w:autoSpaceDE w:val="0"/>
              <w:autoSpaceDN w:val="0"/>
              <w:adjustRightInd w:val="0"/>
              <w:rPr>
                <w:rFonts w:ascii="Verdana" w:hAnsi="Verdana" w:cs="Tahoma"/>
                <w:b/>
                <w:szCs w:val="20"/>
              </w:rPr>
            </w:pPr>
            <w:r w:rsidRPr="00360F70">
              <w:rPr>
                <w:rFonts w:ascii="Verdana" w:hAnsi="Verdana"/>
                <w:b/>
              </w:rPr>
              <w:t>Dioxin</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2</w:t>
            </w:r>
          </w:p>
        </w:tc>
        <w:tc>
          <w:tcPr>
            <w:tcW w:w="155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r>
      <w:tr w:rsidR="00687C0E" w:rsidRPr="00360F70" w:rsidTr="007B1792">
        <w:trPr>
          <w:jc w:val="center"/>
        </w:trPr>
        <w:tc>
          <w:tcPr>
            <w:tcW w:w="2943" w:type="dxa"/>
          </w:tcPr>
          <w:p w:rsidR="00687C0E" w:rsidRPr="00360F70" w:rsidRDefault="00687C0E" w:rsidP="00446691">
            <w:pPr>
              <w:autoSpaceDE w:val="0"/>
              <w:autoSpaceDN w:val="0"/>
              <w:adjustRightInd w:val="0"/>
              <w:rPr>
                <w:rFonts w:ascii="Verdana" w:hAnsi="Verdana" w:cs="Tahoma"/>
                <w:b/>
                <w:szCs w:val="20"/>
              </w:rPr>
            </w:pPr>
            <w:r w:rsidRPr="00360F70">
              <w:rPr>
                <w:rFonts w:ascii="Verdana" w:hAnsi="Verdana"/>
                <w:b/>
              </w:rPr>
              <w:t>Dioxinlika PCB</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2</w:t>
            </w:r>
          </w:p>
        </w:tc>
        <w:tc>
          <w:tcPr>
            <w:tcW w:w="155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r>
      <w:tr w:rsidR="00687C0E" w:rsidRPr="00360F70" w:rsidTr="007B1792">
        <w:trPr>
          <w:jc w:val="center"/>
        </w:trPr>
        <w:tc>
          <w:tcPr>
            <w:tcW w:w="2943" w:type="dxa"/>
          </w:tcPr>
          <w:p w:rsidR="00687C0E" w:rsidRPr="00360F70" w:rsidRDefault="00687C0E" w:rsidP="00446691">
            <w:pPr>
              <w:autoSpaceDE w:val="0"/>
              <w:autoSpaceDN w:val="0"/>
              <w:adjustRightInd w:val="0"/>
              <w:rPr>
                <w:rFonts w:ascii="Verdana" w:hAnsi="Verdana" w:cs="Tahoma"/>
                <w:b/>
                <w:szCs w:val="20"/>
              </w:rPr>
            </w:pPr>
            <w:r w:rsidRPr="00360F70">
              <w:rPr>
                <w:rFonts w:ascii="Verdana" w:hAnsi="Verdana"/>
                <w:b/>
              </w:rPr>
              <w:t>Icke dioxinlika PCB</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2</w:t>
            </w:r>
          </w:p>
        </w:tc>
        <w:tc>
          <w:tcPr>
            <w:tcW w:w="155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r>
      <w:tr w:rsidR="00687C0E" w:rsidRPr="00360F70" w:rsidTr="007B1792">
        <w:trPr>
          <w:jc w:val="center"/>
        </w:trPr>
        <w:tc>
          <w:tcPr>
            <w:tcW w:w="2943" w:type="dxa"/>
          </w:tcPr>
          <w:p w:rsidR="00687C0E" w:rsidRPr="00360F70" w:rsidRDefault="00687C0E" w:rsidP="00D77B82">
            <w:pPr>
              <w:autoSpaceDE w:val="0"/>
              <w:autoSpaceDN w:val="0"/>
              <w:adjustRightInd w:val="0"/>
              <w:rPr>
                <w:rFonts w:ascii="Verdana" w:hAnsi="Verdana" w:cs="Tahoma"/>
                <w:b/>
                <w:szCs w:val="20"/>
              </w:rPr>
            </w:pPr>
            <w:r w:rsidRPr="00360F70">
              <w:rPr>
                <w:rFonts w:ascii="Verdana" w:hAnsi="Verdana"/>
                <w:b/>
              </w:rPr>
              <w:t>Salmonella</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2</w:t>
            </w:r>
          </w:p>
        </w:tc>
        <w:tc>
          <w:tcPr>
            <w:tcW w:w="155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3</w:t>
            </w:r>
          </w:p>
        </w:tc>
        <w:tc>
          <w:tcPr>
            <w:tcW w:w="1418" w:type="dxa"/>
          </w:tcPr>
          <w:p w:rsidR="00687C0E" w:rsidRPr="00360F70" w:rsidRDefault="00687C0E" w:rsidP="00446691">
            <w:pPr>
              <w:autoSpaceDE w:val="0"/>
              <w:autoSpaceDN w:val="0"/>
              <w:adjustRightInd w:val="0"/>
              <w:rPr>
                <w:rFonts w:ascii="Verdana" w:hAnsi="Verdana" w:cs="Tahoma"/>
                <w:szCs w:val="20"/>
              </w:rPr>
            </w:pPr>
            <w:r w:rsidRPr="00360F70">
              <w:rPr>
                <w:rFonts w:ascii="Verdana" w:hAnsi="Verdana"/>
              </w:rPr>
              <w:t>4</w:t>
            </w:r>
          </w:p>
        </w:tc>
      </w:tr>
      <w:tr w:rsidR="00D77B82" w:rsidRPr="00360F70" w:rsidTr="007B1792">
        <w:trPr>
          <w:jc w:val="center"/>
        </w:trPr>
        <w:tc>
          <w:tcPr>
            <w:tcW w:w="2943" w:type="dxa"/>
          </w:tcPr>
          <w:p w:rsidR="00D77B82" w:rsidRPr="00360F70" w:rsidRDefault="00D77B82" w:rsidP="00446691">
            <w:pPr>
              <w:autoSpaceDE w:val="0"/>
              <w:autoSpaceDN w:val="0"/>
              <w:adjustRightInd w:val="0"/>
              <w:rPr>
                <w:rFonts w:ascii="Verdana" w:hAnsi="Verdana" w:cs="Tahoma"/>
                <w:b/>
                <w:szCs w:val="20"/>
              </w:rPr>
            </w:pPr>
            <w:r w:rsidRPr="00360F70">
              <w:rPr>
                <w:rFonts w:ascii="Verdana" w:hAnsi="Verdana"/>
                <w:b/>
              </w:rPr>
              <w:t>Tungmetaller (Pb, Cd, As, Hg)</w:t>
            </w:r>
          </w:p>
        </w:tc>
        <w:tc>
          <w:tcPr>
            <w:tcW w:w="1418" w:type="dxa"/>
          </w:tcPr>
          <w:p w:rsidR="00D77B82" w:rsidRPr="00360F70" w:rsidRDefault="00D77B82" w:rsidP="00AA6A8C">
            <w:pPr>
              <w:autoSpaceDE w:val="0"/>
              <w:autoSpaceDN w:val="0"/>
              <w:adjustRightInd w:val="0"/>
              <w:rPr>
                <w:rFonts w:ascii="Verdana" w:hAnsi="Verdana" w:cs="Tahoma"/>
                <w:szCs w:val="20"/>
              </w:rPr>
            </w:pPr>
            <w:r w:rsidRPr="00360F70">
              <w:rPr>
                <w:rFonts w:ascii="Verdana" w:hAnsi="Verdana"/>
              </w:rPr>
              <w:t>2</w:t>
            </w:r>
          </w:p>
        </w:tc>
        <w:tc>
          <w:tcPr>
            <w:tcW w:w="1558" w:type="dxa"/>
          </w:tcPr>
          <w:p w:rsidR="00D77B82" w:rsidRPr="00360F70" w:rsidRDefault="00D77B82" w:rsidP="00AA6A8C">
            <w:pPr>
              <w:autoSpaceDE w:val="0"/>
              <w:autoSpaceDN w:val="0"/>
              <w:adjustRightInd w:val="0"/>
              <w:rPr>
                <w:rFonts w:ascii="Verdana" w:hAnsi="Verdana" w:cs="Tahoma"/>
                <w:szCs w:val="20"/>
              </w:rPr>
            </w:pPr>
            <w:r w:rsidRPr="00360F70">
              <w:rPr>
                <w:rFonts w:ascii="Verdana" w:hAnsi="Verdana"/>
              </w:rPr>
              <w:t>3</w:t>
            </w:r>
          </w:p>
        </w:tc>
        <w:tc>
          <w:tcPr>
            <w:tcW w:w="1418" w:type="dxa"/>
          </w:tcPr>
          <w:p w:rsidR="00D77B82" w:rsidRPr="00360F70" w:rsidRDefault="00D77B82" w:rsidP="00AA6A8C">
            <w:pPr>
              <w:autoSpaceDE w:val="0"/>
              <w:autoSpaceDN w:val="0"/>
              <w:adjustRightInd w:val="0"/>
              <w:rPr>
                <w:rFonts w:ascii="Verdana" w:hAnsi="Verdana" w:cs="Tahoma"/>
                <w:szCs w:val="20"/>
              </w:rPr>
            </w:pPr>
            <w:r w:rsidRPr="00360F70">
              <w:rPr>
                <w:rFonts w:ascii="Verdana" w:hAnsi="Verdana"/>
              </w:rPr>
              <w:t>4</w:t>
            </w:r>
          </w:p>
        </w:tc>
      </w:tr>
      <w:tr w:rsidR="00D77B82" w:rsidRPr="00360F70" w:rsidTr="007B1792">
        <w:trPr>
          <w:jc w:val="center"/>
        </w:trPr>
        <w:tc>
          <w:tcPr>
            <w:tcW w:w="2943" w:type="dxa"/>
          </w:tcPr>
          <w:p w:rsidR="00D77B82" w:rsidRPr="00360F70" w:rsidRDefault="00D77B82" w:rsidP="00446691">
            <w:pPr>
              <w:autoSpaceDE w:val="0"/>
              <w:autoSpaceDN w:val="0"/>
              <w:adjustRightInd w:val="0"/>
              <w:rPr>
                <w:rFonts w:ascii="Verdana" w:hAnsi="Verdana" w:cs="Tahoma"/>
                <w:b/>
                <w:szCs w:val="20"/>
              </w:rPr>
            </w:pPr>
            <w:r w:rsidRPr="00360F70">
              <w:rPr>
                <w:rFonts w:ascii="Verdana" w:hAnsi="Verdana"/>
                <w:b/>
              </w:rPr>
              <w:t>Bekämpningsmedel</w:t>
            </w:r>
          </w:p>
        </w:tc>
        <w:tc>
          <w:tcPr>
            <w:tcW w:w="1418" w:type="dxa"/>
          </w:tcPr>
          <w:p w:rsidR="00D77B82" w:rsidRPr="00360F70" w:rsidRDefault="00D77B82" w:rsidP="00446691">
            <w:pPr>
              <w:autoSpaceDE w:val="0"/>
              <w:autoSpaceDN w:val="0"/>
              <w:adjustRightInd w:val="0"/>
              <w:rPr>
                <w:rFonts w:ascii="Verdana" w:hAnsi="Verdana" w:cs="Tahoma"/>
                <w:szCs w:val="20"/>
              </w:rPr>
            </w:pPr>
            <w:r w:rsidRPr="00360F70">
              <w:rPr>
                <w:rFonts w:ascii="Verdana" w:hAnsi="Verdana"/>
              </w:rPr>
              <w:t>2</w:t>
            </w:r>
          </w:p>
        </w:tc>
        <w:tc>
          <w:tcPr>
            <w:tcW w:w="1558" w:type="dxa"/>
          </w:tcPr>
          <w:p w:rsidR="00D77B82" w:rsidRPr="00360F70" w:rsidRDefault="00D77B82" w:rsidP="00446691">
            <w:pPr>
              <w:autoSpaceDE w:val="0"/>
              <w:autoSpaceDN w:val="0"/>
              <w:adjustRightInd w:val="0"/>
              <w:rPr>
                <w:rFonts w:ascii="Verdana" w:hAnsi="Verdana" w:cs="Tahoma"/>
                <w:szCs w:val="20"/>
              </w:rPr>
            </w:pPr>
            <w:r w:rsidRPr="00360F70">
              <w:rPr>
                <w:rFonts w:ascii="Verdana" w:hAnsi="Verdana"/>
              </w:rPr>
              <w:t>2</w:t>
            </w:r>
          </w:p>
        </w:tc>
        <w:tc>
          <w:tcPr>
            <w:tcW w:w="1418" w:type="dxa"/>
          </w:tcPr>
          <w:p w:rsidR="00D77B82" w:rsidRPr="00360F70" w:rsidRDefault="00D77B82" w:rsidP="00446691">
            <w:pPr>
              <w:autoSpaceDE w:val="0"/>
              <w:autoSpaceDN w:val="0"/>
              <w:adjustRightInd w:val="0"/>
              <w:rPr>
                <w:rFonts w:ascii="Verdana" w:hAnsi="Verdana" w:cs="Tahoma"/>
                <w:szCs w:val="20"/>
              </w:rPr>
            </w:pPr>
            <w:r w:rsidRPr="00360F70">
              <w:rPr>
                <w:rFonts w:ascii="Verdana" w:hAnsi="Verdana"/>
              </w:rPr>
              <w:t>2</w:t>
            </w:r>
          </w:p>
        </w:tc>
      </w:tr>
      <w:tr w:rsidR="00D77B82" w:rsidRPr="00360F70" w:rsidTr="007B1792">
        <w:trPr>
          <w:jc w:val="center"/>
        </w:trPr>
        <w:tc>
          <w:tcPr>
            <w:tcW w:w="2943" w:type="dxa"/>
          </w:tcPr>
          <w:p w:rsidR="00D77B82" w:rsidRPr="00360F70" w:rsidRDefault="00D77B82" w:rsidP="00446691">
            <w:pPr>
              <w:autoSpaceDE w:val="0"/>
              <w:autoSpaceDN w:val="0"/>
              <w:adjustRightInd w:val="0"/>
              <w:rPr>
                <w:rFonts w:ascii="Verdana" w:hAnsi="Verdana" w:cs="Tahoma"/>
                <w:b/>
                <w:szCs w:val="20"/>
              </w:rPr>
            </w:pPr>
            <w:r w:rsidRPr="00360F70">
              <w:rPr>
                <w:rFonts w:ascii="Verdana" w:hAnsi="Verdana"/>
                <w:b/>
              </w:rPr>
              <w:t>Metanol</w:t>
            </w:r>
          </w:p>
        </w:tc>
        <w:tc>
          <w:tcPr>
            <w:tcW w:w="1418" w:type="dxa"/>
          </w:tcPr>
          <w:p w:rsidR="00D77B82" w:rsidRPr="00360F70" w:rsidRDefault="00D77B82" w:rsidP="00446691">
            <w:pPr>
              <w:autoSpaceDE w:val="0"/>
              <w:autoSpaceDN w:val="0"/>
              <w:adjustRightInd w:val="0"/>
              <w:rPr>
                <w:rFonts w:ascii="Verdana" w:hAnsi="Verdana" w:cs="Tahoma"/>
                <w:szCs w:val="20"/>
              </w:rPr>
            </w:pPr>
            <w:r w:rsidRPr="00360F70">
              <w:rPr>
                <w:rFonts w:ascii="Verdana" w:hAnsi="Verdana"/>
              </w:rPr>
              <w:t>2</w:t>
            </w:r>
          </w:p>
        </w:tc>
        <w:tc>
          <w:tcPr>
            <w:tcW w:w="1558" w:type="dxa"/>
          </w:tcPr>
          <w:p w:rsidR="00D77B82" w:rsidRPr="00360F70" w:rsidRDefault="00D77B82" w:rsidP="00446691">
            <w:pPr>
              <w:autoSpaceDE w:val="0"/>
              <w:autoSpaceDN w:val="0"/>
              <w:adjustRightInd w:val="0"/>
              <w:rPr>
                <w:rFonts w:ascii="Verdana" w:hAnsi="Verdana" w:cs="Tahoma"/>
                <w:szCs w:val="20"/>
              </w:rPr>
            </w:pPr>
            <w:r w:rsidRPr="00360F70">
              <w:rPr>
                <w:rFonts w:ascii="Verdana" w:hAnsi="Verdana"/>
              </w:rPr>
              <w:t>3</w:t>
            </w:r>
          </w:p>
        </w:tc>
        <w:tc>
          <w:tcPr>
            <w:tcW w:w="1418" w:type="dxa"/>
          </w:tcPr>
          <w:p w:rsidR="00D77B82" w:rsidRPr="00360F70" w:rsidRDefault="00D77B82" w:rsidP="00446691">
            <w:pPr>
              <w:autoSpaceDE w:val="0"/>
              <w:autoSpaceDN w:val="0"/>
              <w:adjustRightInd w:val="0"/>
              <w:rPr>
                <w:rFonts w:ascii="Verdana" w:hAnsi="Verdana" w:cs="Tahoma"/>
                <w:szCs w:val="20"/>
              </w:rPr>
            </w:pPr>
            <w:r w:rsidRPr="00360F70">
              <w:rPr>
                <w:rFonts w:ascii="Verdana" w:hAnsi="Verdana"/>
              </w:rPr>
              <w:t>4</w:t>
            </w:r>
          </w:p>
        </w:tc>
      </w:tr>
    </w:tbl>
    <w:p w:rsidR="00AB104D" w:rsidRPr="00360F70" w:rsidRDefault="00427188" w:rsidP="007B1792">
      <w:pPr>
        <w:autoSpaceDE w:val="0"/>
        <w:autoSpaceDN w:val="0"/>
        <w:adjustRightInd w:val="0"/>
        <w:ind w:left="708"/>
        <w:rPr>
          <w:rFonts w:ascii="Verdana" w:hAnsi="Verdana" w:cs="Tahoma"/>
          <w:szCs w:val="20"/>
        </w:rPr>
      </w:pPr>
      <w:r w:rsidRPr="00360F70">
        <w:rPr>
          <w:rFonts w:ascii="Verdana" w:hAnsi="Verdana"/>
        </w:rPr>
        <w:t>*Granskning av metanol endast för rå glycerin.</w:t>
      </w:r>
    </w:p>
    <w:p w:rsidR="000D43B8" w:rsidRPr="00360F70" w:rsidRDefault="000D43B8" w:rsidP="008E1E10">
      <w:pPr>
        <w:tabs>
          <w:tab w:val="left" w:pos="6945"/>
        </w:tabs>
        <w:rPr>
          <w:rFonts w:ascii="Verdana" w:hAnsi="Verdana" w:cs="Tahoma"/>
          <w:szCs w:val="20"/>
        </w:rPr>
      </w:pPr>
    </w:p>
    <w:sectPr w:rsidR="000D43B8" w:rsidRPr="00360F70" w:rsidSect="002C35C6">
      <w:headerReference w:type="default" r:id="rId25"/>
      <w:pgSz w:w="12240" w:h="15840"/>
      <w:pgMar w:top="851" w:right="1325"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C8" w:rsidRDefault="001026C8">
      <w:r>
        <w:separator/>
      </w:r>
    </w:p>
  </w:endnote>
  <w:endnote w:type="continuationSeparator" w:id="0">
    <w:p w:rsidR="001026C8" w:rsidRDefault="0010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C8" w:rsidRDefault="001026C8" w:rsidP="0062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6C8" w:rsidRDefault="001026C8" w:rsidP="00754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C8" w:rsidRDefault="001026C8" w:rsidP="008E1E10">
    <w:pPr>
      <w:pStyle w:val="Footer"/>
      <w:framePr w:wrap="around" w:vAnchor="text" w:hAnchor="page" w:x="10711" w:yAlign="top"/>
      <w:rPr>
        <w:rStyle w:val="PageNumber"/>
      </w:rPr>
    </w:pPr>
    <w:r>
      <w:rPr>
        <w:rStyle w:val="PageNumber"/>
      </w:rPr>
      <w:fldChar w:fldCharType="begin"/>
    </w:r>
    <w:r>
      <w:rPr>
        <w:rStyle w:val="PageNumber"/>
      </w:rPr>
      <w:instrText xml:space="preserve">PAGE  </w:instrText>
    </w:r>
    <w:r>
      <w:rPr>
        <w:rStyle w:val="PageNumber"/>
      </w:rPr>
      <w:fldChar w:fldCharType="separate"/>
    </w:r>
    <w:r w:rsidR="00761399">
      <w:rPr>
        <w:rStyle w:val="PageNumber"/>
        <w:noProof/>
      </w:rPr>
      <w:t>2</w:t>
    </w:r>
    <w:r>
      <w:rPr>
        <w:rStyle w:val="PageNumber"/>
      </w:rPr>
      <w:fldChar w:fldCharType="end"/>
    </w:r>
  </w:p>
  <w:p w:rsidR="001026C8" w:rsidRPr="00E44357" w:rsidRDefault="001026C8" w:rsidP="005C03F3">
    <w:pPr>
      <w:pStyle w:val="Title"/>
      <w:jc w:val="left"/>
      <w:rPr>
        <w:rFonts w:ascii="Verdana" w:hAnsi="Verdana"/>
        <w:b w:val="0"/>
        <w:i/>
        <w:color w:val="4F81BD"/>
        <w:sz w:val="18"/>
        <w:szCs w:val="18"/>
        <w:u w:val="none"/>
      </w:rPr>
    </w:pPr>
    <w:r>
      <w:rPr>
        <w:rFonts w:ascii="Verdana" w:hAnsi="Verdana"/>
        <w:b w:val="0"/>
        <w:i/>
        <w:color w:val="4F81BD"/>
        <w:sz w:val="18"/>
        <w:u w:val="none"/>
      </w:rPr>
      <w:t>EFISC Guide – Branschspecifikt referensdokument om tillverkning av säkra foderråvaror som utvinns från biodieselbearbetning</w:t>
    </w:r>
  </w:p>
  <w:p w:rsidR="001026C8" w:rsidRDefault="001026C8" w:rsidP="00754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C8" w:rsidRDefault="001026C8">
      <w:r>
        <w:separator/>
      </w:r>
    </w:p>
  </w:footnote>
  <w:footnote w:type="continuationSeparator" w:id="0">
    <w:p w:rsidR="001026C8" w:rsidRDefault="001026C8">
      <w:r>
        <w:continuationSeparator/>
      </w:r>
    </w:p>
  </w:footnote>
  <w:footnote w:id="1">
    <w:p w:rsidR="001026C8" w:rsidRPr="009D7C0A" w:rsidRDefault="001026C8" w:rsidP="00A246EB">
      <w:pPr>
        <w:autoSpaceDE w:val="0"/>
        <w:autoSpaceDN w:val="0"/>
        <w:adjustRightInd w:val="0"/>
        <w:rPr>
          <w:rFonts w:ascii="Verdana" w:hAnsi="Verdana" w:cs="Tahoma"/>
          <w:bCs/>
          <w:sz w:val="16"/>
          <w:szCs w:val="16"/>
          <w:lang w:val="en-US" w:eastAsia="fr-BE"/>
        </w:rPr>
      </w:pPr>
      <w:r>
        <w:rPr>
          <w:rStyle w:val="FootnoteReference"/>
        </w:rPr>
        <w:footnoteRef/>
      </w:r>
      <w:r>
        <w:t xml:space="preserve"> Fediols branschspecifika referensdokument: Bilaga 4 till Europeiska riktlinjer för god praxis vid industriell framställning av säkra foderråvaror: </w:t>
      </w:r>
      <w:hyperlink r:id="rId1" w:history="1">
        <w:r w:rsidR="009D7C0A" w:rsidRPr="00D6395C">
          <w:rPr>
            <w:rStyle w:val="Hyperlink"/>
            <w:rFonts w:ascii="Verdana" w:hAnsi="Verdana"/>
            <w:sz w:val="16"/>
            <w:szCs w:val="16"/>
          </w:rPr>
          <w:t>http://www.efisc.eu/data/14168338154.%20Sector%20ref%20doc%20on%20oilseed%20crushing%20and%20veg%20oil%20refining%20version%203.1.pdf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C8" w:rsidRPr="00197C5A" w:rsidRDefault="001026C8" w:rsidP="00183009">
    <w:pPr>
      <w:pStyle w:val="Header"/>
      <w:tabs>
        <w:tab w:val="clear" w:pos="4536"/>
        <w:tab w:val="clear" w:pos="9072"/>
        <w:tab w:val="right" w:pos="8789"/>
      </w:tabs>
      <w:jc w:val="both"/>
      <w:rPr>
        <w:b/>
        <w:sz w:val="24"/>
        <w:u w:val="single"/>
      </w:rPr>
    </w:pPr>
    <w:r>
      <w:tab/>
    </w:r>
  </w:p>
  <w:p w:rsidR="001026C8" w:rsidRPr="00197C5A" w:rsidRDefault="001026C8" w:rsidP="00E33DAE">
    <w:pPr>
      <w:pStyle w:val="Header"/>
      <w:tabs>
        <w:tab w:val="clear" w:pos="4536"/>
        <w:tab w:val="clear" w:pos="9072"/>
        <w:tab w:val="right" w:pos="8789"/>
      </w:tabs>
      <w:jc w:val="both"/>
      <w:rPr>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C8" w:rsidRPr="00197C5A" w:rsidRDefault="001026C8" w:rsidP="00183009">
    <w:pPr>
      <w:pStyle w:val="Header"/>
      <w:tabs>
        <w:tab w:val="clear" w:pos="4536"/>
        <w:tab w:val="clear" w:pos="9072"/>
        <w:tab w:val="right" w:pos="8789"/>
      </w:tabs>
      <w:rPr>
        <w:b/>
        <w:sz w:val="24"/>
        <w:u w:val="single"/>
      </w:rPr>
    </w:pPr>
    <w:r>
      <w:rPr>
        <w:noProof/>
        <w:lang w:val="en-GB" w:eastAsia="en-GB" w:bidi="ar-SA"/>
      </w:rPr>
      <mc:AlternateContent>
        <mc:Choice Requires="wps">
          <w:drawing>
            <wp:anchor distT="0" distB="0" distL="114300" distR="114300" simplePos="0" relativeHeight="251657216" behindDoc="0" locked="0" layoutInCell="1" allowOverlap="1" wp14:anchorId="70851396" wp14:editId="3C4D5F39">
              <wp:simplePos x="0" y="0"/>
              <wp:positionH relativeFrom="column">
                <wp:posOffset>153035</wp:posOffset>
              </wp:positionH>
              <wp:positionV relativeFrom="paragraph">
                <wp:posOffset>-320675</wp:posOffset>
              </wp:positionV>
              <wp:extent cx="1712595" cy="779145"/>
              <wp:effectExtent l="0" t="0" r="20955"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779145"/>
                      </a:xfrm>
                      <a:prstGeom prst="rect">
                        <a:avLst/>
                      </a:prstGeom>
                      <a:solidFill>
                        <a:srgbClr val="FFFFFF"/>
                      </a:solidFill>
                      <a:ln w="9525">
                        <a:solidFill>
                          <a:srgbClr val="FFFFFF"/>
                        </a:solidFill>
                        <a:miter lim="800000"/>
                        <a:headEnd/>
                        <a:tailEnd/>
                      </a:ln>
                    </wps:spPr>
                    <wps:txbx>
                      <w:txbxContent>
                        <w:p w:rsidR="001026C8" w:rsidRPr="00A80199" w:rsidRDefault="001026C8" w:rsidP="00183009">
                          <w:pPr>
                            <w:widowControl w:val="0"/>
                            <w:rPr>
                              <w:rFonts w:ascii="Arial Narrow" w:hAnsi="Arial Narrow"/>
                              <w:color w:val="00B050"/>
                              <w:sz w:val="72"/>
                              <w:szCs w:val="72"/>
                            </w:rPr>
                          </w:pPr>
                          <w:r>
                            <w:rPr>
                              <w:rFonts w:ascii="Arial Narrow" w:hAnsi="Arial Narrow"/>
                              <w:color w:val="00B050"/>
                              <w:sz w:val="72"/>
                            </w:rPr>
                            <w:t>Foder</w:t>
                          </w:r>
                        </w:p>
                        <w:p w:rsidR="001026C8" w:rsidRDefault="001026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05pt;margin-top:-25.25pt;width:134.85pt;height:61.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" strokecolor="white">
              <v:textbox style="mso-fit-shape-to-text:t">
                <w:txbxContent>
                  <w:p w:rsidR="001026C8" w:rsidRPr="00A80199" w:rsidRDefault="001026C8" w:rsidP="00183009">
                    <w:pPr>
                      <w:widowControl w:val="0"/>
                      <w:rPr>
                        <w:rFonts w:ascii="Arial Narrow" w:hAnsi="Arial Narrow"/>
                        <w:color w:val="00B050"/>
                        <w:sz w:val="72"/>
                        <w:szCs w:val="72"/>
                      </w:rPr>
                    </w:pPr>
                    <w:r>
                      <w:rPr>
                        <w:rFonts w:ascii="Arial Narrow" w:hAnsi="Arial Narrow"/>
                        <w:color w:val="00B050"/>
                        <w:sz w:val="72"/>
                      </w:rPr>
                      <w:t>Foder</w:t>
                    </w:r>
                  </w:p>
                  <w:p w:rsidR="001026C8" w:rsidRDefault="001026C8"/>
                </w:txbxContent>
              </v:textbox>
            </v:shape>
          </w:pict>
        </mc:Fallback>
      </mc:AlternateContent>
    </w:r>
    <w:r>
      <w:rPr>
        <w:noProof/>
        <w:lang w:val="en-GB" w:eastAsia="en-GB" w:bidi="ar-SA"/>
      </w:rPr>
      <mc:AlternateContent>
        <mc:Choice Requires="wps">
          <w:drawing>
            <wp:anchor distT="0" distB="0" distL="114300" distR="114300" simplePos="0" relativeHeight="251658240" behindDoc="0" locked="0" layoutInCell="1" allowOverlap="1" wp14:anchorId="68A7CAD7" wp14:editId="081D8BB3">
              <wp:simplePos x="0" y="0"/>
              <wp:positionH relativeFrom="column">
                <wp:posOffset>1439545</wp:posOffset>
              </wp:positionH>
              <wp:positionV relativeFrom="paragraph">
                <wp:posOffset>-123825</wp:posOffset>
              </wp:positionV>
              <wp:extent cx="4921885" cy="323850"/>
              <wp:effectExtent l="0" t="0" r="1206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23850"/>
                      </a:xfrm>
                      <a:prstGeom prst="rect">
                        <a:avLst/>
                      </a:prstGeom>
                      <a:solidFill>
                        <a:srgbClr val="FFFFFF"/>
                      </a:solidFill>
                      <a:ln w="9525">
                        <a:solidFill>
                          <a:srgbClr val="FFFFFF"/>
                        </a:solidFill>
                        <a:miter lim="800000"/>
                        <a:headEnd/>
                        <a:tailEnd/>
                      </a:ln>
                    </wps:spPr>
                    <wps:txbx>
                      <w:txbxContent>
                        <w:p w:rsidR="001026C8" w:rsidRDefault="001026C8" w:rsidP="00183009">
                          <w:pPr>
                            <w:widowControl w:val="0"/>
                          </w:pPr>
                          <w:r>
                            <w:rPr>
                              <w:rFonts w:ascii="Arial Rounded MT Bold" w:hAnsi="Arial Rounded MT Bold"/>
                              <w:sz w:val="28"/>
                            </w:rPr>
                            <w:t xml:space="preserve">Riskanalys av bearbetningskedjan för biodiesel </w:t>
                          </w:r>
                        </w:p>
                        <w:p w:rsidR="001026C8" w:rsidRDefault="001026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3.35pt;margin-top:-9.75pt;width:38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" strokecolor="white">
              <v:textbox>
                <w:txbxContent>
                  <w:p w:rsidR="001026C8" w:rsidRDefault="001026C8" w:rsidP="00183009">
                    <w:pPr>
                      <w:widowControl w:val="0"/>
                    </w:pPr>
                    <w:r>
                      <w:rPr>
                        <w:rFonts w:ascii="Arial Rounded MT Bold" w:hAnsi="Arial Rounded MT Bold"/>
                        <w:sz w:val="28"/>
                      </w:rPr>
                      <w:t xml:space="preserve">Riskanalys av bearbetningskedjan för biodiesel </w:t>
                    </w:r>
                  </w:p>
                  <w:p w:rsidR="001026C8" w:rsidRDefault="001026C8"/>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C8" w:rsidRPr="00197C5A" w:rsidRDefault="001026C8" w:rsidP="00183009">
    <w:pPr>
      <w:pStyle w:val="Header"/>
      <w:tabs>
        <w:tab w:val="clear" w:pos="4536"/>
        <w:tab w:val="clear" w:pos="9072"/>
        <w:tab w:val="right" w:pos="8789"/>
      </w:tabs>
      <w:rPr>
        <w:b/>
        <w:sz w:val="24"/>
        <w:u w:val="single"/>
      </w:rPr>
    </w:pPr>
    <w:r>
      <w:rPr>
        <w:noProof/>
        <w:lang w:val="en-GB" w:eastAsia="en-GB" w:bidi="ar-SA"/>
      </w:rPr>
      <mc:AlternateContent>
        <mc:Choice Requires="wps">
          <w:drawing>
            <wp:anchor distT="0" distB="0" distL="114300" distR="114300" simplePos="0" relativeHeight="251659264" behindDoc="0" locked="0" layoutInCell="1" allowOverlap="1" wp14:anchorId="4CC3FACA" wp14:editId="1578E563">
              <wp:simplePos x="0" y="0"/>
              <wp:positionH relativeFrom="column">
                <wp:posOffset>8190865</wp:posOffset>
              </wp:positionH>
              <wp:positionV relativeFrom="paragraph">
                <wp:posOffset>-180975</wp:posOffset>
              </wp:positionV>
              <wp:extent cx="1052195" cy="779145"/>
              <wp:effectExtent l="0" t="0" r="14605"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779145"/>
                      </a:xfrm>
                      <a:prstGeom prst="rect">
                        <a:avLst/>
                      </a:prstGeom>
                      <a:solidFill>
                        <a:srgbClr val="FFFFFF"/>
                      </a:solidFill>
                      <a:ln w="9525">
                        <a:solidFill>
                          <a:srgbClr val="FFFFFF"/>
                        </a:solidFill>
                        <a:miter lim="800000"/>
                        <a:headEnd/>
                        <a:tailEnd/>
                      </a:ln>
                    </wps:spPr>
                    <wps:txbx>
                      <w:txbxContent>
                        <w:p w:rsidR="001026C8" w:rsidRPr="00A80199" w:rsidRDefault="001026C8" w:rsidP="00183009">
                          <w:pPr>
                            <w:widowControl w:val="0"/>
                            <w:rPr>
                              <w:rFonts w:ascii="Arial Narrow" w:hAnsi="Arial Narrow"/>
                              <w:color w:val="00B050"/>
                              <w:sz w:val="72"/>
                              <w:szCs w:val="72"/>
                            </w:rPr>
                          </w:pPr>
                          <w:r>
                            <w:rPr>
                              <w:rFonts w:ascii="Arial Narrow" w:hAnsi="Arial Narrow"/>
                              <w:color w:val="00B050"/>
                              <w:sz w:val="72"/>
                            </w:rPr>
                            <w:t>Foder</w:t>
                          </w:r>
                        </w:p>
                        <w:p w:rsidR="001026C8" w:rsidRDefault="001026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44.95pt;margin-top:-14.25pt;width:82.85pt;height:6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" strokecolor="white">
              <v:textbox style="mso-fit-shape-to-text:t">
                <w:txbxContent>
                  <w:p w:rsidR="001026C8" w:rsidRPr="00A80199" w:rsidRDefault="001026C8" w:rsidP="00183009">
                    <w:pPr>
                      <w:widowControl w:val="0"/>
                      <w:rPr>
                        <w:rFonts w:ascii="Arial Narrow" w:hAnsi="Arial Narrow"/>
                        <w:color w:val="00B050"/>
                        <w:sz w:val="72"/>
                        <w:szCs w:val="72"/>
                      </w:rPr>
                    </w:pPr>
                    <w:r>
                      <w:rPr>
                        <w:rFonts w:ascii="Arial Narrow" w:hAnsi="Arial Narrow"/>
                        <w:color w:val="00B050"/>
                        <w:sz w:val="72"/>
                      </w:rPr>
                      <w:t>Foder</w:t>
                    </w:r>
                  </w:p>
                  <w:p w:rsidR="001026C8" w:rsidRDefault="001026C8"/>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99.9pt;height:69.1pt" o:bullet="t">
        <v:imagedata r:id="rId1" o:title="ST Michel 34 Logo &amp; address FINAL_small png"/>
      </v:shape>
    </w:pict>
  </w:numPicBullet>
  <w:numPicBullet w:numPicBulletId="1">
    <w:pict>
      <v:shape id="_x0000_i1081" type="#_x0000_t75" style="width:9pt;height:9pt" o:bullet="t">
        <v:imagedata r:id="rId2" o:title="BD15021_"/>
      </v:shape>
    </w:pict>
  </w:numPicBullet>
  <w:abstractNum w:abstractNumId="0">
    <w:nsid w:val="01CF0966"/>
    <w:multiLevelType w:val="hybridMultilevel"/>
    <w:tmpl w:val="92042C90"/>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24DD7"/>
    <w:multiLevelType w:val="hybridMultilevel"/>
    <w:tmpl w:val="DF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02577"/>
    <w:multiLevelType w:val="hybridMultilevel"/>
    <w:tmpl w:val="1016982A"/>
    <w:lvl w:ilvl="0" w:tplc="07FCC59E">
      <w:start w:val="1"/>
      <w:numFmt w:val="bullet"/>
      <w:lvlText w:val=""/>
      <w:lvlJc w:val="left"/>
      <w:pPr>
        <w:tabs>
          <w:tab w:val="num" w:pos="717"/>
        </w:tabs>
        <w:ind w:left="717" w:hanging="360"/>
      </w:pPr>
      <w:rPr>
        <w:rFonts w:ascii="Symbol" w:hAnsi="Symbol" w:hint="default"/>
        <w:sz w:val="16"/>
      </w:rPr>
    </w:lvl>
    <w:lvl w:ilvl="1" w:tplc="1F0A041E">
      <w:start w:val="1"/>
      <w:numFmt w:val="bullet"/>
      <w:lvlText w:val="o"/>
      <w:lvlJc w:val="left"/>
      <w:pPr>
        <w:tabs>
          <w:tab w:val="num" w:pos="1443"/>
        </w:tabs>
        <w:ind w:left="1443" w:hanging="363"/>
      </w:pPr>
      <w:rPr>
        <w:rFonts w:ascii="Courier New" w:hAnsi="Courier New" w:cs="Times New Roman"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B6E316B"/>
    <w:multiLevelType w:val="hybridMultilevel"/>
    <w:tmpl w:val="19DC7E10"/>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367462"/>
    <w:multiLevelType w:val="multilevel"/>
    <w:tmpl w:val="69E055C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nsid w:val="13671280"/>
    <w:multiLevelType w:val="hybridMultilevel"/>
    <w:tmpl w:val="E8104494"/>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8349EB"/>
    <w:multiLevelType w:val="hybridMultilevel"/>
    <w:tmpl w:val="DE54C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81932"/>
    <w:multiLevelType w:val="hybridMultilevel"/>
    <w:tmpl w:val="9FBEE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216B37"/>
    <w:multiLevelType w:val="hybridMultilevel"/>
    <w:tmpl w:val="EA08B8AA"/>
    <w:lvl w:ilvl="0" w:tplc="E336489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ED50BEB"/>
    <w:multiLevelType w:val="multilevel"/>
    <w:tmpl w:val="BD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20EB4"/>
    <w:multiLevelType w:val="multilevel"/>
    <w:tmpl w:val="FBACAE7A"/>
    <w:name w:val="Liste 123"/>
    <w:lvl w:ilvl="0">
      <w:start w:val="1"/>
      <w:numFmt w:val="decimal"/>
      <w:lvlText w:val="%1."/>
      <w:lvlJc w:val="left"/>
      <w:pPr>
        <w:tabs>
          <w:tab w:val="num" w:pos="851"/>
        </w:tabs>
        <w:ind w:left="851" w:hanging="851"/>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1D3494F"/>
    <w:multiLevelType w:val="hybridMultilevel"/>
    <w:tmpl w:val="5B287BA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C51AF8"/>
    <w:multiLevelType w:val="hybridMultilevel"/>
    <w:tmpl w:val="8990C3D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0E319A"/>
    <w:multiLevelType w:val="hybridMultilevel"/>
    <w:tmpl w:val="09020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B5109DD"/>
    <w:multiLevelType w:val="hybridMultilevel"/>
    <w:tmpl w:val="27E4E4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CED4932"/>
    <w:multiLevelType w:val="multilevel"/>
    <w:tmpl w:val="AA60B07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036CCE"/>
    <w:multiLevelType w:val="hybridMultilevel"/>
    <w:tmpl w:val="C3DE8CCE"/>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EA93891"/>
    <w:multiLevelType w:val="hybridMultilevel"/>
    <w:tmpl w:val="90741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A97DD7"/>
    <w:multiLevelType w:val="hybridMultilevel"/>
    <w:tmpl w:val="0AF2419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0C1ACC"/>
    <w:multiLevelType w:val="hybridMultilevel"/>
    <w:tmpl w:val="832A6192"/>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34140"/>
    <w:multiLevelType w:val="multilevel"/>
    <w:tmpl w:val="D734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D0A"/>
    <w:multiLevelType w:val="hybridMultilevel"/>
    <w:tmpl w:val="984E5A26"/>
    <w:lvl w:ilvl="0" w:tplc="E336489C">
      <w:numFmt w:val="bullet"/>
      <w:lvlText w:val="-"/>
      <w:lvlJc w:val="left"/>
      <w:pPr>
        <w:ind w:left="2844" w:hanging="360"/>
      </w:pPr>
      <w:rPr>
        <w:rFonts w:ascii="Times New Roman" w:eastAsia="SimSun" w:hAnsi="Times New Roman" w:cs="Times New Roman"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nsid w:val="3EF6191B"/>
    <w:multiLevelType w:val="hybridMultilevel"/>
    <w:tmpl w:val="D2F47546"/>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0D973B7"/>
    <w:multiLevelType w:val="multilevel"/>
    <w:tmpl w:val="F3FA5612"/>
    <w:lvl w:ilvl="0">
      <w:start w:val="7"/>
      <w:numFmt w:val="decimal"/>
      <w:lvlText w:val="%1"/>
      <w:lvlJc w:val="left"/>
      <w:pPr>
        <w:ind w:left="360" w:hanging="3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7092" w:hanging="144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10278" w:hanging="1800"/>
      </w:pPr>
      <w:rPr>
        <w:rFonts w:hint="default"/>
      </w:rPr>
    </w:lvl>
    <w:lvl w:ilvl="7">
      <w:start w:val="1"/>
      <w:numFmt w:val="decimal"/>
      <w:lvlText w:val="%1.%2.%3.%4.%5.%6.%7.%8"/>
      <w:lvlJc w:val="left"/>
      <w:pPr>
        <w:ind w:left="12051" w:hanging="2160"/>
      </w:pPr>
      <w:rPr>
        <w:rFonts w:hint="default"/>
      </w:rPr>
    </w:lvl>
    <w:lvl w:ilvl="8">
      <w:start w:val="1"/>
      <w:numFmt w:val="decimal"/>
      <w:lvlText w:val="%1.%2.%3.%4.%5.%6.%7.%8.%9"/>
      <w:lvlJc w:val="left"/>
      <w:pPr>
        <w:ind w:left="13464" w:hanging="2160"/>
      </w:pPr>
      <w:rPr>
        <w:rFonts w:hint="default"/>
      </w:rPr>
    </w:lvl>
  </w:abstractNum>
  <w:abstractNum w:abstractNumId="27">
    <w:nsid w:val="42113FFC"/>
    <w:multiLevelType w:val="hybridMultilevel"/>
    <w:tmpl w:val="44F6D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74310EB"/>
    <w:multiLevelType w:val="hybridMultilevel"/>
    <w:tmpl w:val="8F0AFE00"/>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7960C2B"/>
    <w:multiLevelType w:val="hybridMultilevel"/>
    <w:tmpl w:val="E9A856C8"/>
    <w:lvl w:ilvl="0" w:tplc="0B147844">
      <w:start w:val="1"/>
      <w:numFmt w:val="bullet"/>
      <w:lvlText w:val=""/>
      <w:lvlPicBulletId w:val="1"/>
      <w:lvlJc w:val="left"/>
      <w:pPr>
        <w:tabs>
          <w:tab w:val="num" w:pos="786"/>
        </w:tabs>
        <w:ind w:left="786" w:hanging="360"/>
      </w:pPr>
      <w:rPr>
        <w:rFonts w:ascii="Symbol" w:hAnsi="Symbol" w:hint="default"/>
        <w:color w:val="auto"/>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30">
    <w:nsid w:val="4B276472"/>
    <w:multiLevelType w:val="hybridMultilevel"/>
    <w:tmpl w:val="442A7BF2"/>
    <w:lvl w:ilvl="0" w:tplc="BFC6C6A4">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hint="default"/>
      </w:rPr>
    </w:lvl>
    <w:lvl w:ilvl="8" w:tplc="040C0005">
      <w:start w:val="1"/>
      <w:numFmt w:val="bullet"/>
      <w:lvlText w:val=""/>
      <w:lvlJc w:val="left"/>
      <w:pPr>
        <w:ind w:left="6971" w:hanging="360"/>
      </w:pPr>
      <w:rPr>
        <w:rFonts w:ascii="Wingdings" w:hAnsi="Wingdings" w:hint="default"/>
      </w:rPr>
    </w:lvl>
  </w:abstractNum>
  <w:abstractNum w:abstractNumId="31">
    <w:nsid w:val="4DBC61F7"/>
    <w:multiLevelType w:val="hybridMultilevel"/>
    <w:tmpl w:val="0A129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5231E8"/>
    <w:multiLevelType w:val="hybridMultilevel"/>
    <w:tmpl w:val="2188E13A"/>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7C303D"/>
    <w:multiLevelType w:val="hybridMultilevel"/>
    <w:tmpl w:val="7C2AEF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8E7D43"/>
    <w:multiLevelType w:val="hybridMultilevel"/>
    <w:tmpl w:val="D222FCCC"/>
    <w:lvl w:ilvl="0" w:tplc="ED928788">
      <w:start w:val="1"/>
      <w:numFmt w:val="decimal"/>
      <w:lvlText w:val="%1."/>
      <w:lvlJc w:val="left"/>
      <w:pPr>
        <w:ind w:left="720" w:hanging="360"/>
      </w:pPr>
      <w:rPr>
        <w:rFonts w:ascii="Arial Rounded MT Bold" w:hAnsi="Arial Rounded MT Bold" w:cs="Times New Roman"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7225C"/>
    <w:multiLevelType w:val="multilevel"/>
    <w:tmpl w:val="D90E87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CB82A6C"/>
    <w:multiLevelType w:val="hybridMultilevel"/>
    <w:tmpl w:val="4E04819C"/>
    <w:lvl w:ilvl="0" w:tplc="4C1C29C8">
      <w:start w:val="1"/>
      <w:numFmt w:val="bullet"/>
      <w:lvlText w:val="-"/>
      <w:lvlJc w:val="left"/>
      <w:pPr>
        <w:ind w:left="1215" w:hanging="360"/>
      </w:pPr>
      <w:rPr>
        <w:rFonts w:ascii="Times New Roman" w:eastAsia="Times New Roman" w:hAnsi="Times New Roman" w:hint="default"/>
      </w:rPr>
    </w:lvl>
    <w:lvl w:ilvl="1" w:tplc="56AEDBFE">
      <w:start w:val="1"/>
      <w:numFmt w:val="bullet"/>
      <w:lvlText w:val="o"/>
      <w:lvlJc w:val="left"/>
      <w:pPr>
        <w:ind w:left="1935" w:hanging="360"/>
      </w:pPr>
      <w:rPr>
        <w:rFonts w:ascii="Courier New" w:hAnsi="Courier New" w:hint="default"/>
      </w:rPr>
    </w:lvl>
    <w:lvl w:ilvl="2" w:tplc="1ECCB98E">
      <w:start w:val="1"/>
      <w:numFmt w:val="bullet"/>
      <w:lvlText w:val=""/>
      <w:lvlJc w:val="left"/>
      <w:pPr>
        <w:ind w:left="2655" w:hanging="360"/>
      </w:pPr>
      <w:rPr>
        <w:rFonts w:ascii="Wingdings" w:hAnsi="Wingdings" w:hint="default"/>
      </w:rPr>
    </w:lvl>
    <w:lvl w:ilvl="3" w:tplc="189EA8E6">
      <w:start w:val="1"/>
      <w:numFmt w:val="bullet"/>
      <w:lvlText w:val=""/>
      <w:lvlJc w:val="left"/>
      <w:pPr>
        <w:ind w:left="3375" w:hanging="360"/>
      </w:pPr>
      <w:rPr>
        <w:rFonts w:ascii="Symbol" w:hAnsi="Symbol" w:hint="default"/>
      </w:rPr>
    </w:lvl>
    <w:lvl w:ilvl="4" w:tplc="F8D00176">
      <w:start w:val="1"/>
      <w:numFmt w:val="bullet"/>
      <w:lvlText w:val="o"/>
      <w:lvlJc w:val="left"/>
      <w:pPr>
        <w:ind w:left="4095" w:hanging="360"/>
      </w:pPr>
      <w:rPr>
        <w:rFonts w:ascii="Courier New" w:hAnsi="Courier New" w:hint="default"/>
      </w:rPr>
    </w:lvl>
    <w:lvl w:ilvl="5" w:tplc="573E3914">
      <w:start w:val="1"/>
      <w:numFmt w:val="bullet"/>
      <w:lvlText w:val=""/>
      <w:lvlJc w:val="left"/>
      <w:pPr>
        <w:ind w:left="4815" w:hanging="360"/>
      </w:pPr>
      <w:rPr>
        <w:rFonts w:ascii="Wingdings" w:hAnsi="Wingdings" w:hint="default"/>
      </w:rPr>
    </w:lvl>
    <w:lvl w:ilvl="6" w:tplc="3C12D694">
      <w:start w:val="1"/>
      <w:numFmt w:val="bullet"/>
      <w:lvlText w:val=""/>
      <w:lvlJc w:val="left"/>
      <w:pPr>
        <w:ind w:left="5535" w:hanging="360"/>
      </w:pPr>
      <w:rPr>
        <w:rFonts w:ascii="Symbol" w:hAnsi="Symbol" w:hint="default"/>
      </w:rPr>
    </w:lvl>
    <w:lvl w:ilvl="7" w:tplc="91526BC2">
      <w:start w:val="1"/>
      <w:numFmt w:val="bullet"/>
      <w:lvlText w:val="o"/>
      <w:lvlJc w:val="left"/>
      <w:pPr>
        <w:ind w:left="6255" w:hanging="360"/>
      </w:pPr>
      <w:rPr>
        <w:rFonts w:ascii="Courier New" w:hAnsi="Courier New" w:hint="default"/>
      </w:rPr>
    </w:lvl>
    <w:lvl w:ilvl="8" w:tplc="4B0C7982">
      <w:start w:val="1"/>
      <w:numFmt w:val="bullet"/>
      <w:lvlText w:val=""/>
      <w:lvlJc w:val="left"/>
      <w:pPr>
        <w:ind w:left="6975" w:hanging="360"/>
      </w:pPr>
      <w:rPr>
        <w:rFonts w:ascii="Wingdings" w:hAnsi="Wingdings" w:hint="default"/>
      </w:rPr>
    </w:lvl>
  </w:abstractNum>
  <w:abstractNum w:abstractNumId="37">
    <w:nsid w:val="6CC642F4"/>
    <w:multiLevelType w:val="hybridMultilevel"/>
    <w:tmpl w:val="FBF6D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D1F1396"/>
    <w:multiLevelType w:val="hybridMultilevel"/>
    <w:tmpl w:val="4622D558"/>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085655E"/>
    <w:multiLevelType w:val="hybridMultilevel"/>
    <w:tmpl w:val="0F80EF90"/>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443E62"/>
    <w:multiLevelType w:val="hybridMultilevel"/>
    <w:tmpl w:val="FD88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5"/>
  </w:num>
  <w:num w:numId="4">
    <w:abstractNumId w:val="32"/>
  </w:num>
  <w:num w:numId="5">
    <w:abstractNumId w:val="0"/>
  </w:num>
  <w:num w:numId="6">
    <w:abstractNumId w:val="33"/>
  </w:num>
  <w:num w:numId="7">
    <w:abstractNumId w:val="13"/>
  </w:num>
  <w:num w:numId="8">
    <w:abstractNumId w:val="39"/>
  </w:num>
  <w:num w:numId="9">
    <w:abstractNumId w:val="23"/>
  </w:num>
  <w:num w:numId="10">
    <w:abstractNumId w:val="9"/>
  </w:num>
  <w:num w:numId="11">
    <w:abstractNumId w:val="12"/>
  </w:num>
  <w:num w:numId="12">
    <w:abstractNumId w:val="36"/>
  </w:num>
  <w:num w:numId="13">
    <w:abstractNumId w:val="30"/>
  </w:num>
  <w:num w:numId="14">
    <w:abstractNumId w:val="7"/>
  </w:num>
  <w:num w:numId="15">
    <w:abstractNumId w:val="1"/>
  </w:num>
  <w:num w:numId="16">
    <w:abstractNumId w:val="19"/>
  </w:num>
  <w:num w:numId="17">
    <w:abstractNumId w:val="31"/>
  </w:num>
  <w:num w:numId="18">
    <w:abstractNumId w:val="2"/>
  </w:num>
  <w:num w:numId="19">
    <w:abstractNumId w:val="37"/>
  </w:num>
  <w:num w:numId="20">
    <w:abstractNumId w:val="4"/>
  </w:num>
  <w:num w:numId="21">
    <w:abstractNumId w:val="42"/>
  </w:num>
  <w:num w:numId="22">
    <w:abstractNumId w:val="28"/>
  </w:num>
  <w:num w:numId="23">
    <w:abstractNumId w:val="16"/>
  </w:num>
  <w:num w:numId="24">
    <w:abstractNumId w:val="6"/>
  </w:num>
  <w:num w:numId="25">
    <w:abstractNumId w:val="24"/>
  </w:num>
  <w:num w:numId="26">
    <w:abstractNumId w:val="34"/>
  </w:num>
  <w:num w:numId="27">
    <w:abstractNumId w:val="17"/>
  </w:num>
  <w:num w:numId="28">
    <w:abstractNumId w:val="35"/>
    <w:lvlOverride w:ilvl="0">
      <w:startOverride w:val="6"/>
    </w:lvlOverride>
  </w:num>
  <w:num w:numId="29">
    <w:abstractNumId w:val="11"/>
  </w:num>
  <w:num w:numId="30">
    <w:abstractNumId w:val="15"/>
  </w:num>
  <w:num w:numId="31">
    <w:abstractNumId w:val="22"/>
  </w:num>
  <w:num w:numId="32">
    <w:abstractNumId w:val="10"/>
  </w:num>
  <w:num w:numId="33">
    <w:abstractNumId w:val="38"/>
  </w:num>
  <w:num w:numId="34">
    <w:abstractNumId w:val="40"/>
  </w:num>
  <w:num w:numId="35">
    <w:abstractNumId w:val="5"/>
  </w:num>
  <w:num w:numId="36">
    <w:abstractNumId w:val="26"/>
  </w:num>
  <w:num w:numId="37">
    <w:abstractNumId w:val="14"/>
  </w:num>
  <w:num w:numId="38">
    <w:abstractNumId w:val="27"/>
  </w:num>
  <w:num w:numId="39">
    <w:abstractNumId w:val="21"/>
  </w:num>
  <w:num w:numId="40">
    <w:abstractNumId w:val="41"/>
  </w:num>
  <w:num w:numId="41">
    <w:abstractNumId w:val="25"/>
  </w:num>
  <w:num w:numId="42">
    <w:abstractNumId w:val="3"/>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LET EN"/>
  </w:docVars>
  <w:rsids>
    <w:rsidRoot w:val="004D1AD7"/>
    <w:rsid w:val="000050B7"/>
    <w:rsid w:val="00006AAF"/>
    <w:rsid w:val="000160B1"/>
    <w:rsid w:val="00020681"/>
    <w:rsid w:val="00024170"/>
    <w:rsid w:val="00024577"/>
    <w:rsid w:val="00024A13"/>
    <w:rsid w:val="00025440"/>
    <w:rsid w:val="00025445"/>
    <w:rsid w:val="00036DE9"/>
    <w:rsid w:val="00044C0C"/>
    <w:rsid w:val="00055D0D"/>
    <w:rsid w:val="00056936"/>
    <w:rsid w:val="000621B5"/>
    <w:rsid w:val="00063494"/>
    <w:rsid w:val="00065F29"/>
    <w:rsid w:val="00067437"/>
    <w:rsid w:val="00070FEF"/>
    <w:rsid w:val="000728D7"/>
    <w:rsid w:val="00072A49"/>
    <w:rsid w:val="00073614"/>
    <w:rsid w:val="00073E32"/>
    <w:rsid w:val="00076622"/>
    <w:rsid w:val="000767F6"/>
    <w:rsid w:val="00082828"/>
    <w:rsid w:val="00083085"/>
    <w:rsid w:val="00093BF1"/>
    <w:rsid w:val="00097CE4"/>
    <w:rsid w:val="000A6745"/>
    <w:rsid w:val="000B1296"/>
    <w:rsid w:val="000B3AB1"/>
    <w:rsid w:val="000C0621"/>
    <w:rsid w:val="000C417B"/>
    <w:rsid w:val="000C4E00"/>
    <w:rsid w:val="000C52F2"/>
    <w:rsid w:val="000C679F"/>
    <w:rsid w:val="000C7703"/>
    <w:rsid w:val="000D0A93"/>
    <w:rsid w:val="000D43B8"/>
    <w:rsid w:val="000D558A"/>
    <w:rsid w:val="000D63AA"/>
    <w:rsid w:val="000E66E5"/>
    <w:rsid w:val="000E7271"/>
    <w:rsid w:val="000F0077"/>
    <w:rsid w:val="000F1C47"/>
    <w:rsid w:val="000F6510"/>
    <w:rsid w:val="001026C8"/>
    <w:rsid w:val="001062E6"/>
    <w:rsid w:val="00120270"/>
    <w:rsid w:val="00120930"/>
    <w:rsid w:val="0012359F"/>
    <w:rsid w:val="00123823"/>
    <w:rsid w:val="00123838"/>
    <w:rsid w:val="00123EED"/>
    <w:rsid w:val="00127622"/>
    <w:rsid w:val="001327AB"/>
    <w:rsid w:val="00133433"/>
    <w:rsid w:val="001351E6"/>
    <w:rsid w:val="00136F2C"/>
    <w:rsid w:val="00137DC3"/>
    <w:rsid w:val="00141E5B"/>
    <w:rsid w:val="00147A0E"/>
    <w:rsid w:val="00151ACA"/>
    <w:rsid w:val="00154E0F"/>
    <w:rsid w:val="0015798E"/>
    <w:rsid w:val="00160497"/>
    <w:rsid w:val="0016375A"/>
    <w:rsid w:val="00183009"/>
    <w:rsid w:val="001946A3"/>
    <w:rsid w:val="001961E4"/>
    <w:rsid w:val="00197C5A"/>
    <w:rsid w:val="00197F1B"/>
    <w:rsid w:val="001A135A"/>
    <w:rsid w:val="001A405E"/>
    <w:rsid w:val="001B01FC"/>
    <w:rsid w:val="001B5C78"/>
    <w:rsid w:val="001C1343"/>
    <w:rsid w:val="001C3A68"/>
    <w:rsid w:val="001C5882"/>
    <w:rsid w:val="001D22F4"/>
    <w:rsid w:val="001D2477"/>
    <w:rsid w:val="001D5DE3"/>
    <w:rsid w:val="001D60DA"/>
    <w:rsid w:val="001E05FE"/>
    <w:rsid w:val="001F4C50"/>
    <w:rsid w:val="0020639E"/>
    <w:rsid w:val="002153BA"/>
    <w:rsid w:val="00217A7D"/>
    <w:rsid w:val="00224937"/>
    <w:rsid w:val="0023340F"/>
    <w:rsid w:val="00233E3A"/>
    <w:rsid w:val="002408DC"/>
    <w:rsid w:val="00241EB4"/>
    <w:rsid w:val="00242D8A"/>
    <w:rsid w:val="00243AAB"/>
    <w:rsid w:val="00251EFD"/>
    <w:rsid w:val="002545DF"/>
    <w:rsid w:val="002553C5"/>
    <w:rsid w:val="0025643D"/>
    <w:rsid w:val="00257CF8"/>
    <w:rsid w:val="002611B2"/>
    <w:rsid w:val="00266F5E"/>
    <w:rsid w:val="0027238A"/>
    <w:rsid w:val="00276654"/>
    <w:rsid w:val="002A4021"/>
    <w:rsid w:val="002B0D15"/>
    <w:rsid w:val="002B2093"/>
    <w:rsid w:val="002B4EBF"/>
    <w:rsid w:val="002B77A2"/>
    <w:rsid w:val="002C2C5A"/>
    <w:rsid w:val="002C35C3"/>
    <w:rsid w:val="002C35C6"/>
    <w:rsid w:val="002D3548"/>
    <w:rsid w:val="002D4D47"/>
    <w:rsid w:val="002E52C2"/>
    <w:rsid w:val="002E55EF"/>
    <w:rsid w:val="002F0AB8"/>
    <w:rsid w:val="00300F3C"/>
    <w:rsid w:val="00301A1D"/>
    <w:rsid w:val="00302D9E"/>
    <w:rsid w:val="00303AC4"/>
    <w:rsid w:val="00304753"/>
    <w:rsid w:val="0031639C"/>
    <w:rsid w:val="00320589"/>
    <w:rsid w:val="003211B6"/>
    <w:rsid w:val="0033448F"/>
    <w:rsid w:val="00337129"/>
    <w:rsid w:val="00337FB2"/>
    <w:rsid w:val="003440D6"/>
    <w:rsid w:val="00356D1C"/>
    <w:rsid w:val="0035700C"/>
    <w:rsid w:val="00360F70"/>
    <w:rsid w:val="00363BDE"/>
    <w:rsid w:val="003737F1"/>
    <w:rsid w:val="00384804"/>
    <w:rsid w:val="00384D26"/>
    <w:rsid w:val="00387FC1"/>
    <w:rsid w:val="00392641"/>
    <w:rsid w:val="003958A7"/>
    <w:rsid w:val="00396EC6"/>
    <w:rsid w:val="003A2B05"/>
    <w:rsid w:val="003A34DD"/>
    <w:rsid w:val="003B2746"/>
    <w:rsid w:val="003B5B27"/>
    <w:rsid w:val="003C2F0D"/>
    <w:rsid w:val="003C44A3"/>
    <w:rsid w:val="003D10A9"/>
    <w:rsid w:val="003D17F7"/>
    <w:rsid w:val="003D5254"/>
    <w:rsid w:val="003E010C"/>
    <w:rsid w:val="003E0838"/>
    <w:rsid w:val="003E083C"/>
    <w:rsid w:val="003E3DEF"/>
    <w:rsid w:val="003E5328"/>
    <w:rsid w:val="003E62F2"/>
    <w:rsid w:val="003F0098"/>
    <w:rsid w:val="003F1FF5"/>
    <w:rsid w:val="003F6B44"/>
    <w:rsid w:val="003F6C0F"/>
    <w:rsid w:val="00401368"/>
    <w:rsid w:val="00405850"/>
    <w:rsid w:val="00412990"/>
    <w:rsid w:val="00416305"/>
    <w:rsid w:val="00421210"/>
    <w:rsid w:val="00421B8B"/>
    <w:rsid w:val="00427188"/>
    <w:rsid w:val="00427A3D"/>
    <w:rsid w:val="00436063"/>
    <w:rsid w:val="0044051E"/>
    <w:rsid w:val="004453A9"/>
    <w:rsid w:val="00446691"/>
    <w:rsid w:val="00453723"/>
    <w:rsid w:val="00454213"/>
    <w:rsid w:val="00463602"/>
    <w:rsid w:val="0046497A"/>
    <w:rsid w:val="00471E8D"/>
    <w:rsid w:val="00477850"/>
    <w:rsid w:val="004779CF"/>
    <w:rsid w:val="00480496"/>
    <w:rsid w:val="004819D4"/>
    <w:rsid w:val="004822A0"/>
    <w:rsid w:val="00482D81"/>
    <w:rsid w:val="004831A2"/>
    <w:rsid w:val="004832A4"/>
    <w:rsid w:val="004835CF"/>
    <w:rsid w:val="0048779E"/>
    <w:rsid w:val="00490C74"/>
    <w:rsid w:val="00492260"/>
    <w:rsid w:val="00493677"/>
    <w:rsid w:val="00494D0C"/>
    <w:rsid w:val="00496C0D"/>
    <w:rsid w:val="004A2A8A"/>
    <w:rsid w:val="004A3426"/>
    <w:rsid w:val="004B1272"/>
    <w:rsid w:val="004B2FB4"/>
    <w:rsid w:val="004B4DE2"/>
    <w:rsid w:val="004C07BD"/>
    <w:rsid w:val="004C162B"/>
    <w:rsid w:val="004C645A"/>
    <w:rsid w:val="004C758F"/>
    <w:rsid w:val="004D14B9"/>
    <w:rsid w:val="004D1AD7"/>
    <w:rsid w:val="004D4347"/>
    <w:rsid w:val="004D5AB2"/>
    <w:rsid w:val="004D7624"/>
    <w:rsid w:val="004D7AD3"/>
    <w:rsid w:val="004D7CE5"/>
    <w:rsid w:val="004E2A83"/>
    <w:rsid w:val="004E2B6A"/>
    <w:rsid w:val="004E3ACA"/>
    <w:rsid w:val="004E54A8"/>
    <w:rsid w:val="004E6D41"/>
    <w:rsid w:val="004F26C9"/>
    <w:rsid w:val="004F2A09"/>
    <w:rsid w:val="004F2D87"/>
    <w:rsid w:val="004F4A2F"/>
    <w:rsid w:val="00502861"/>
    <w:rsid w:val="00507F95"/>
    <w:rsid w:val="005108AF"/>
    <w:rsid w:val="00510FD1"/>
    <w:rsid w:val="00515881"/>
    <w:rsid w:val="0052268B"/>
    <w:rsid w:val="00523E52"/>
    <w:rsid w:val="00542173"/>
    <w:rsid w:val="005450B4"/>
    <w:rsid w:val="00545727"/>
    <w:rsid w:val="00550C20"/>
    <w:rsid w:val="00551CD7"/>
    <w:rsid w:val="0055765D"/>
    <w:rsid w:val="00561388"/>
    <w:rsid w:val="00565264"/>
    <w:rsid w:val="00567397"/>
    <w:rsid w:val="00575312"/>
    <w:rsid w:val="00575960"/>
    <w:rsid w:val="00577B51"/>
    <w:rsid w:val="00577B75"/>
    <w:rsid w:val="00580DFB"/>
    <w:rsid w:val="00586F90"/>
    <w:rsid w:val="00587768"/>
    <w:rsid w:val="005879F8"/>
    <w:rsid w:val="00591963"/>
    <w:rsid w:val="00594E79"/>
    <w:rsid w:val="005A0181"/>
    <w:rsid w:val="005A0AC9"/>
    <w:rsid w:val="005A3788"/>
    <w:rsid w:val="005A4B4A"/>
    <w:rsid w:val="005A6305"/>
    <w:rsid w:val="005B3B72"/>
    <w:rsid w:val="005C03F3"/>
    <w:rsid w:val="005C5BE8"/>
    <w:rsid w:val="005C6B94"/>
    <w:rsid w:val="005D1B93"/>
    <w:rsid w:val="005D5D64"/>
    <w:rsid w:val="005D5E3D"/>
    <w:rsid w:val="005E187D"/>
    <w:rsid w:val="005E640C"/>
    <w:rsid w:val="005F04E4"/>
    <w:rsid w:val="005F1A8F"/>
    <w:rsid w:val="005F3DE3"/>
    <w:rsid w:val="005F40D5"/>
    <w:rsid w:val="005F6623"/>
    <w:rsid w:val="0060304D"/>
    <w:rsid w:val="00621062"/>
    <w:rsid w:val="006221FD"/>
    <w:rsid w:val="0062274A"/>
    <w:rsid w:val="0062416B"/>
    <w:rsid w:val="00624A50"/>
    <w:rsid w:val="0063108E"/>
    <w:rsid w:val="006316BC"/>
    <w:rsid w:val="00633719"/>
    <w:rsid w:val="00640844"/>
    <w:rsid w:val="00642CAA"/>
    <w:rsid w:val="00646C8C"/>
    <w:rsid w:val="006558BC"/>
    <w:rsid w:val="00660F29"/>
    <w:rsid w:val="00665768"/>
    <w:rsid w:val="00665DE8"/>
    <w:rsid w:val="00667EF1"/>
    <w:rsid w:val="00672E3C"/>
    <w:rsid w:val="00673C87"/>
    <w:rsid w:val="00677000"/>
    <w:rsid w:val="00680F51"/>
    <w:rsid w:val="0068260F"/>
    <w:rsid w:val="006830AD"/>
    <w:rsid w:val="0068412B"/>
    <w:rsid w:val="006857A4"/>
    <w:rsid w:val="00687C0E"/>
    <w:rsid w:val="00694782"/>
    <w:rsid w:val="00697308"/>
    <w:rsid w:val="006A2972"/>
    <w:rsid w:val="006A63A8"/>
    <w:rsid w:val="006B2C3B"/>
    <w:rsid w:val="006B3301"/>
    <w:rsid w:val="006C2D6A"/>
    <w:rsid w:val="006C5888"/>
    <w:rsid w:val="006D3ABA"/>
    <w:rsid w:val="006D6874"/>
    <w:rsid w:val="006F4A5D"/>
    <w:rsid w:val="00710316"/>
    <w:rsid w:val="00712268"/>
    <w:rsid w:val="00716A5A"/>
    <w:rsid w:val="007207A0"/>
    <w:rsid w:val="0072409A"/>
    <w:rsid w:val="00725858"/>
    <w:rsid w:val="00731393"/>
    <w:rsid w:val="007477A4"/>
    <w:rsid w:val="007541F5"/>
    <w:rsid w:val="00761399"/>
    <w:rsid w:val="00767934"/>
    <w:rsid w:val="007700BC"/>
    <w:rsid w:val="00770353"/>
    <w:rsid w:val="00770EA4"/>
    <w:rsid w:val="00774B93"/>
    <w:rsid w:val="00775892"/>
    <w:rsid w:val="0078175B"/>
    <w:rsid w:val="00784AA7"/>
    <w:rsid w:val="00793196"/>
    <w:rsid w:val="007972CE"/>
    <w:rsid w:val="007A766C"/>
    <w:rsid w:val="007B1792"/>
    <w:rsid w:val="007B5B25"/>
    <w:rsid w:val="007B630C"/>
    <w:rsid w:val="007C09D3"/>
    <w:rsid w:val="007C2084"/>
    <w:rsid w:val="007C363B"/>
    <w:rsid w:val="007C4CC4"/>
    <w:rsid w:val="007D3F9B"/>
    <w:rsid w:val="007D5256"/>
    <w:rsid w:val="007E31B2"/>
    <w:rsid w:val="007E4F01"/>
    <w:rsid w:val="007E626C"/>
    <w:rsid w:val="007F05F3"/>
    <w:rsid w:val="007F0BAC"/>
    <w:rsid w:val="007F7FC9"/>
    <w:rsid w:val="00800E2C"/>
    <w:rsid w:val="008018BF"/>
    <w:rsid w:val="00814E32"/>
    <w:rsid w:val="00815334"/>
    <w:rsid w:val="008154BD"/>
    <w:rsid w:val="00816A4D"/>
    <w:rsid w:val="00821E9F"/>
    <w:rsid w:val="00825340"/>
    <w:rsid w:val="00826576"/>
    <w:rsid w:val="0084091A"/>
    <w:rsid w:val="00842911"/>
    <w:rsid w:val="00843954"/>
    <w:rsid w:val="00846B9A"/>
    <w:rsid w:val="0084747E"/>
    <w:rsid w:val="00850EB4"/>
    <w:rsid w:val="0085166B"/>
    <w:rsid w:val="008551A2"/>
    <w:rsid w:val="00856CBD"/>
    <w:rsid w:val="00863625"/>
    <w:rsid w:val="008645CC"/>
    <w:rsid w:val="00864B41"/>
    <w:rsid w:val="008652C5"/>
    <w:rsid w:val="00865A1B"/>
    <w:rsid w:val="008675C9"/>
    <w:rsid w:val="00870967"/>
    <w:rsid w:val="00874BA4"/>
    <w:rsid w:val="00883B0E"/>
    <w:rsid w:val="00891CF0"/>
    <w:rsid w:val="00891D71"/>
    <w:rsid w:val="00892146"/>
    <w:rsid w:val="008943A4"/>
    <w:rsid w:val="008A535C"/>
    <w:rsid w:val="008A5677"/>
    <w:rsid w:val="008A5B95"/>
    <w:rsid w:val="008A645C"/>
    <w:rsid w:val="008B20E6"/>
    <w:rsid w:val="008B7C7D"/>
    <w:rsid w:val="008C1157"/>
    <w:rsid w:val="008C5EFF"/>
    <w:rsid w:val="008C7C3E"/>
    <w:rsid w:val="008C7FD5"/>
    <w:rsid w:val="008E096A"/>
    <w:rsid w:val="008E0C3A"/>
    <w:rsid w:val="008E1111"/>
    <w:rsid w:val="008E1E10"/>
    <w:rsid w:val="008E37DA"/>
    <w:rsid w:val="008E5292"/>
    <w:rsid w:val="008F2137"/>
    <w:rsid w:val="008F332C"/>
    <w:rsid w:val="008F6CFB"/>
    <w:rsid w:val="008F6D2A"/>
    <w:rsid w:val="00900754"/>
    <w:rsid w:val="009054A0"/>
    <w:rsid w:val="0090580E"/>
    <w:rsid w:val="00906B22"/>
    <w:rsid w:val="009132A3"/>
    <w:rsid w:val="00916804"/>
    <w:rsid w:val="00916918"/>
    <w:rsid w:val="00916B7E"/>
    <w:rsid w:val="009218C6"/>
    <w:rsid w:val="00926D29"/>
    <w:rsid w:val="009301A1"/>
    <w:rsid w:val="009349BA"/>
    <w:rsid w:val="00942E2E"/>
    <w:rsid w:val="009433C8"/>
    <w:rsid w:val="009509A0"/>
    <w:rsid w:val="00957197"/>
    <w:rsid w:val="00957D33"/>
    <w:rsid w:val="00962636"/>
    <w:rsid w:val="0096471D"/>
    <w:rsid w:val="00967CE9"/>
    <w:rsid w:val="0097201B"/>
    <w:rsid w:val="00972405"/>
    <w:rsid w:val="00972FA4"/>
    <w:rsid w:val="00974AB8"/>
    <w:rsid w:val="00977F3C"/>
    <w:rsid w:val="00990058"/>
    <w:rsid w:val="00993467"/>
    <w:rsid w:val="0099643E"/>
    <w:rsid w:val="009A0A3C"/>
    <w:rsid w:val="009A2121"/>
    <w:rsid w:val="009A2CDE"/>
    <w:rsid w:val="009A3C54"/>
    <w:rsid w:val="009C1822"/>
    <w:rsid w:val="009C2F6A"/>
    <w:rsid w:val="009D1E57"/>
    <w:rsid w:val="009D6DEC"/>
    <w:rsid w:val="009D7C0A"/>
    <w:rsid w:val="009E0A14"/>
    <w:rsid w:val="009E27A2"/>
    <w:rsid w:val="009E4596"/>
    <w:rsid w:val="009F3010"/>
    <w:rsid w:val="009F5405"/>
    <w:rsid w:val="009F62F8"/>
    <w:rsid w:val="009F6611"/>
    <w:rsid w:val="00A0169D"/>
    <w:rsid w:val="00A05D4A"/>
    <w:rsid w:val="00A12F72"/>
    <w:rsid w:val="00A21C56"/>
    <w:rsid w:val="00A246EB"/>
    <w:rsid w:val="00A25223"/>
    <w:rsid w:val="00A31C4F"/>
    <w:rsid w:val="00A355A2"/>
    <w:rsid w:val="00A36318"/>
    <w:rsid w:val="00A364D8"/>
    <w:rsid w:val="00A54A61"/>
    <w:rsid w:val="00A6285B"/>
    <w:rsid w:val="00A767A8"/>
    <w:rsid w:val="00A8208F"/>
    <w:rsid w:val="00A867DE"/>
    <w:rsid w:val="00AA243F"/>
    <w:rsid w:val="00AA6A8C"/>
    <w:rsid w:val="00AB104D"/>
    <w:rsid w:val="00AB1F25"/>
    <w:rsid w:val="00AB5105"/>
    <w:rsid w:val="00AB7EF3"/>
    <w:rsid w:val="00AC6825"/>
    <w:rsid w:val="00AC7C42"/>
    <w:rsid w:val="00AD370B"/>
    <w:rsid w:val="00AD45C9"/>
    <w:rsid w:val="00AD4F35"/>
    <w:rsid w:val="00AE152A"/>
    <w:rsid w:val="00AE2290"/>
    <w:rsid w:val="00AE2E62"/>
    <w:rsid w:val="00AE710F"/>
    <w:rsid w:val="00AF545F"/>
    <w:rsid w:val="00AF5B37"/>
    <w:rsid w:val="00AF5CD3"/>
    <w:rsid w:val="00B01145"/>
    <w:rsid w:val="00B01B89"/>
    <w:rsid w:val="00B03151"/>
    <w:rsid w:val="00B06E5A"/>
    <w:rsid w:val="00B11259"/>
    <w:rsid w:val="00B11CE0"/>
    <w:rsid w:val="00B13882"/>
    <w:rsid w:val="00B13F5F"/>
    <w:rsid w:val="00B25DCF"/>
    <w:rsid w:val="00B324B4"/>
    <w:rsid w:val="00B349FE"/>
    <w:rsid w:val="00B428CB"/>
    <w:rsid w:val="00B444D8"/>
    <w:rsid w:val="00B53458"/>
    <w:rsid w:val="00B631D4"/>
    <w:rsid w:val="00B643BC"/>
    <w:rsid w:val="00B7039A"/>
    <w:rsid w:val="00B72754"/>
    <w:rsid w:val="00B72C0F"/>
    <w:rsid w:val="00B736FE"/>
    <w:rsid w:val="00B73768"/>
    <w:rsid w:val="00B83F4C"/>
    <w:rsid w:val="00B8437E"/>
    <w:rsid w:val="00B869C8"/>
    <w:rsid w:val="00B86C6B"/>
    <w:rsid w:val="00B87D01"/>
    <w:rsid w:val="00B92324"/>
    <w:rsid w:val="00BA26DA"/>
    <w:rsid w:val="00BA43AC"/>
    <w:rsid w:val="00BB4AE6"/>
    <w:rsid w:val="00BB6318"/>
    <w:rsid w:val="00BD3D0B"/>
    <w:rsid w:val="00BD3ECF"/>
    <w:rsid w:val="00BD5074"/>
    <w:rsid w:val="00BD667B"/>
    <w:rsid w:val="00BD73C4"/>
    <w:rsid w:val="00BD7F30"/>
    <w:rsid w:val="00BE0625"/>
    <w:rsid w:val="00BE3A6D"/>
    <w:rsid w:val="00BE6EF6"/>
    <w:rsid w:val="00BF3FB9"/>
    <w:rsid w:val="00BF712B"/>
    <w:rsid w:val="00C01EBB"/>
    <w:rsid w:val="00C021E9"/>
    <w:rsid w:val="00C04186"/>
    <w:rsid w:val="00C05BEE"/>
    <w:rsid w:val="00C073B6"/>
    <w:rsid w:val="00C0787D"/>
    <w:rsid w:val="00C150D2"/>
    <w:rsid w:val="00C20A50"/>
    <w:rsid w:val="00C2481A"/>
    <w:rsid w:val="00C24B83"/>
    <w:rsid w:val="00C319F3"/>
    <w:rsid w:val="00C44657"/>
    <w:rsid w:val="00C46A1D"/>
    <w:rsid w:val="00C475B7"/>
    <w:rsid w:val="00C50BC8"/>
    <w:rsid w:val="00C53E5C"/>
    <w:rsid w:val="00C60B69"/>
    <w:rsid w:val="00C6152D"/>
    <w:rsid w:val="00C63B1C"/>
    <w:rsid w:val="00C6786A"/>
    <w:rsid w:val="00C724B8"/>
    <w:rsid w:val="00C76E35"/>
    <w:rsid w:val="00C8714F"/>
    <w:rsid w:val="00C92347"/>
    <w:rsid w:val="00C967EF"/>
    <w:rsid w:val="00CA1685"/>
    <w:rsid w:val="00CB1F06"/>
    <w:rsid w:val="00CB2462"/>
    <w:rsid w:val="00CB6F5D"/>
    <w:rsid w:val="00CB7710"/>
    <w:rsid w:val="00CC0085"/>
    <w:rsid w:val="00CC2654"/>
    <w:rsid w:val="00CC3247"/>
    <w:rsid w:val="00CC33EE"/>
    <w:rsid w:val="00CC3C71"/>
    <w:rsid w:val="00CC3E29"/>
    <w:rsid w:val="00CC6FC6"/>
    <w:rsid w:val="00CD1365"/>
    <w:rsid w:val="00CD2F0A"/>
    <w:rsid w:val="00CD3302"/>
    <w:rsid w:val="00CE02F7"/>
    <w:rsid w:val="00CE6A2B"/>
    <w:rsid w:val="00CF1843"/>
    <w:rsid w:val="00CF1C4F"/>
    <w:rsid w:val="00CF2D05"/>
    <w:rsid w:val="00CF3131"/>
    <w:rsid w:val="00CF7A87"/>
    <w:rsid w:val="00D008C8"/>
    <w:rsid w:val="00D03F40"/>
    <w:rsid w:val="00D05EA6"/>
    <w:rsid w:val="00D10ECC"/>
    <w:rsid w:val="00D117AF"/>
    <w:rsid w:val="00D11B5D"/>
    <w:rsid w:val="00D1315D"/>
    <w:rsid w:val="00D13F48"/>
    <w:rsid w:val="00D22F2F"/>
    <w:rsid w:val="00D23094"/>
    <w:rsid w:val="00D23DAB"/>
    <w:rsid w:val="00D326E4"/>
    <w:rsid w:val="00D35391"/>
    <w:rsid w:val="00D36EBA"/>
    <w:rsid w:val="00D50EE8"/>
    <w:rsid w:val="00D562AC"/>
    <w:rsid w:val="00D61AB0"/>
    <w:rsid w:val="00D70570"/>
    <w:rsid w:val="00D77B82"/>
    <w:rsid w:val="00D80406"/>
    <w:rsid w:val="00D821F8"/>
    <w:rsid w:val="00D86426"/>
    <w:rsid w:val="00D87E19"/>
    <w:rsid w:val="00DA6FF0"/>
    <w:rsid w:val="00DB3273"/>
    <w:rsid w:val="00DB5A74"/>
    <w:rsid w:val="00DB5BD0"/>
    <w:rsid w:val="00DC22F0"/>
    <w:rsid w:val="00DC2789"/>
    <w:rsid w:val="00DC50EA"/>
    <w:rsid w:val="00DC7C9D"/>
    <w:rsid w:val="00DD0A1C"/>
    <w:rsid w:val="00DD2B83"/>
    <w:rsid w:val="00DD7B4B"/>
    <w:rsid w:val="00DF1B86"/>
    <w:rsid w:val="00DF35BC"/>
    <w:rsid w:val="00DF4C98"/>
    <w:rsid w:val="00DF4D1C"/>
    <w:rsid w:val="00E016F1"/>
    <w:rsid w:val="00E027EC"/>
    <w:rsid w:val="00E0569C"/>
    <w:rsid w:val="00E056BB"/>
    <w:rsid w:val="00E12978"/>
    <w:rsid w:val="00E13395"/>
    <w:rsid w:val="00E1721D"/>
    <w:rsid w:val="00E23DD5"/>
    <w:rsid w:val="00E252E3"/>
    <w:rsid w:val="00E2750A"/>
    <w:rsid w:val="00E27DEF"/>
    <w:rsid w:val="00E32034"/>
    <w:rsid w:val="00E32724"/>
    <w:rsid w:val="00E33DAE"/>
    <w:rsid w:val="00E364A7"/>
    <w:rsid w:val="00E4063B"/>
    <w:rsid w:val="00E5180C"/>
    <w:rsid w:val="00E51EED"/>
    <w:rsid w:val="00E52B44"/>
    <w:rsid w:val="00E52ECF"/>
    <w:rsid w:val="00E5433C"/>
    <w:rsid w:val="00E54F51"/>
    <w:rsid w:val="00E560CC"/>
    <w:rsid w:val="00E57AFB"/>
    <w:rsid w:val="00E609CF"/>
    <w:rsid w:val="00E61891"/>
    <w:rsid w:val="00E61E36"/>
    <w:rsid w:val="00E63462"/>
    <w:rsid w:val="00E65418"/>
    <w:rsid w:val="00E67C19"/>
    <w:rsid w:val="00E720EF"/>
    <w:rsid w:val="00E752D5"/>
    <w:rsid w:val="00E75B32"/>
    <w:rsid w:val="00E80F73"/>
    <w:rsid w:val="00E83E76"/>
    <w:rsid w:val="00E851BD"/>
    <w:rsid w:val="00E92A39"/>
    <w:rsid w:val="00E9584F"/>
    <w:rsid w:val="00E968C0"/>
    <w:rsid w:val="00EB3AF9"/>
    <w:rsid w:val="00ED65E2"/>
    <w:rsid w:val="00EE42A6"/>
    <w:rsid w:val="00EF1FFD"/>
    <w:rsid w:val="00EF37AB"/>
    <w:rsid w:val="00F011E8"/>
    <w:rsid w:val="00F029E4"/>
    <w:rsid w:val="00F04046"/>
    <w:rsid w:val="00F07020"/>
    <w:rsid w:val="00F0741C"/>
    <w:rsid w:val="00F13477"/>
    <w:rsid w:val="00F26ED8"/>
    <w:rsid w:val="00F310ED"/>
    <w:rsid w:val="00F33163"/>
    <w:rsid w:val="00F3504F"/>
    <w:rsid w:val="00F45952"/>
    <w:rsid w:val="00F459E7"/>
    <w:rsid w:val="00F47374"/>
    <w:rsid w:val="00F50C0B"/>
    <w:rsid w:val="00F541A5"/>
    <w:rsid w:val="00F60490"/>
    <w:rsid w:val="00F61534"/>
    <w:rsid w:val="00F66E5E"/>
    <w:rsid w:val="00F72532"/>
    <w:rsid w:val="00F726A9"/>
    <w:rsid w:val="00F812CE"/>
    <w:rsid w:val="00F81C3B"/>
    <w:rsid w:val="00F822E2"/>
    <w:rsid w:val="00F8756D"/>
    <w:rsid w:val="00F91B4F"/>
    <w:rsid w:val="00F9305F"/>
    <w:rsid w:val="00F9433E"/>
    <w:rsid w:val="00F95139"/>
    <w:rsid w:val="00FA07B5"/>
    <w:rsid w:val="00FA37B8"/>
    <w:rsid w:val="00FA57AB"/>
    <w:rsid w:val="00FA7BE1"/>
    <w:rsid w:val="00FB0CCD"/>
    <w:rsid w:val="00FB4DDD"/>
    <w:rsid w:val="00FC5D70"/>
    <w:rsid w:val="00FC7C00"/>
    <w:rsid w:val="00FD03BD"/>
    <w:rsid w:val="00FD09BC"/>
    <w:rsid w:val="00FD42C9"/>
    <w:rsid w:val="00FD4587"/>
    <w:rsid w:val="00FE1541"/>
    <w:rsid w:val="00FE211C"/>
    <w:rsid w:val="00FF185B"/>
    <w:rsid w:val="00FF411E"/>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8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sv-SE" w:eastAsia="sv-SE"/>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sv-SE" w:eastAsia="sv-SE"/>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sv-SE" w:eastAsia="sv-SE"/>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sv-SE"/>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sv-SE"/>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sv-SE" w:eastAsia="sv-SE"/>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sv-SE"/>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sv-SE"/>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sv-SE" w:eastAsia="sv-SE"/>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sv-SE" w:eastAsia="sv-SE"/>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sv-SE" w:eastAsia="sv-SE"/>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sv-SE"/>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sv-SE"/>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sv-SE" w:eastAsia="sv-SE"/>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sv-SE"/>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sv-SE"/>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348">
      <w:bodyDiv w:val="1"/>
      <w:marLeft w:val="0"/>
      <w:marRight w:val="0"/>
      <w:marTop w:val="0"/>
      <w:marBottom w:val="0"/>
      <w:divBdr>
        <w:top w:val="none" w:sz="0" w:space="0" w:color="auto"/>
        <w:left w:val="none" w:sz="0" w:space="0" w:color="auto"/>
        <w:bottom w:val="none" w:sz="0" w:space="0" w:color="auto"/>
        <w:right w:val="none" w:sz="0" w:space="0" w:color="auto"/>
      </w:divBdr>
    </w:div>
    <w:div w:id="404449830">
      <w:bodyDiv w:val="1"/>
      <w:marLeft w:val="0"/>
      <w:marRight w:val="0"/>
      <w:marTop w:val="0"/>
      <w:marBottom w:val="0"/>
      <w:divBdr>
        <w:top w:val="none" w:sz="0" w:space="0" w:color="auto"/>
        <w:left w:val="none" w:sz="0" w:space="0" w:color="auto"/>
        <w:bottom w:val="none" w:sz="0" w:space="0" w:color="auto"/>
        <w:right w:val="none" w:sz="0" w:space="0" w:color="auto"/>
      </w:divBdr>
    </w:div>
    <w:div w:id="447243958">
      <w:bodyDiv w:val="1"/>
      <w:marLeft w:val="0"/>
      <w:marRight w:val="0"/>
      <w:marTop w:val="0"/>
      <w:marBottom w:val="0"/>
      <w:divBdr>
        <w:top w:val="none" w:sz="0" w:space="0" w:color="auto"/>
        <w:left w:val="none" w:sz="0" w:space="0" w:color="auto"/>
        <w:bottom w:val="none" w:sz="0" w:space="0" w:color="auto"/>
        <w:right w:val="none" w:sz="0" w:space="0" w:color="auto"/>
      </w:divBdr>
    </w:div>
    <w:div w:id="670255942">
      <w:bodyDiv w:val="1"/>
      <w:marLeft w:val="0"/>
      <w:marRight w:val="0"/>
      <w:marTop w:val="0"/>
      <w:marBottom w:val="0"/>
      <w:divBdr>
        <w:top w:val="none" w:sz="0" w:space="0" w:color="auto"/>
        <w:left w:val="none" w:sz="0" w:space="0" w:color="auto"/>
        <w:bottom w:val="none" w:sz="0" w:space="0" w:color="auto"/>
        <w:right w:val="none" w:sz="0" w:space="0" w:color="auto"/>
      </w:divBdr>
    </w:div>
    <w:div w:id="742525200">
      <w:bodyDiv w:val="1"/>
      <w:marLeft w:val="0"/>
      <w:marRight w:val="0"/>
      <w:marTop w:val="0"/>
      <w:marBottom w:val="0"/>
      <w:divBdr>
        <w:top w:val="none" w:sz="0" w:space="0" w:color="auto"/>
        <w:left w:val="none" w:sz="0" w:space="0" w:color="auto"/>
        <w:bottom w:val="none" w:sz="0" w:space="0" w:color="auto"/>
        <w:right w:val="none" w:sz="0" w:space="0" w:color="auto"/>
      </w:divBdr>
    </w:div>
    <w:div w:id="847334049">
      <w:bodyDiv w:val="1"/>
      <w:marLeft w:val="0"/>
      <w:marRight w:val="0"/>
      <w:marTop w:val="0"/>
      <w:marBottom w:val="0"/>
      <w:divBdr>
        <w:top w:val="none" w:sz="0" w:space="0" w:color="auto"/>
        <w:left w:val="none" w:sz="0" w:space="0" w:color="auto"/>
        <w:bottom w:val="none" w:sz="0" w:space="0" w:color="auto"/>
        <w:right w:val="none" w:sz="0" w:space="0" w:color="auto"/>
      </w:divBdr>
    </w:div>
    <w:div w:id="1036663590">
      <w:bodyDiv w:val="1"/>
      <w:marLeft w:val="0"/>
      <w:marRight w:val="0"/>
      <w:marTop w:val="0"/>
      <w:marBottom w:val="0"/>
      <w:divBdr>
        <w:top w:val="none" w:sz="0" w:space="0" w:color="auto"/>
        <w:left w:val="none" w:sz="0" w:space="0" w:color="auto"/>
        <w:bottom w:val="none" w:sz="0" w:space="0" w:color="auto"/>
        <w:right w:val="none" w:sz="0" w:space="0" w:color="auto"/>
      </w:divBdr>
      <w:divsChild>
        <w:div w:id="390081541">
          <w:marLeft w:val="0"/>
          <w:marRight w:val="0"/>
          <w:marTop w:val="0"/>
          <w:marBottom w:val="0"/>
          <w:divBdr>
            <w:top w:val="none" w:sz="0" w:space="0" w:color="auto"/>
            <w:left w:val="none" w:sz="0" w:space="0" w:color="auto"/>
            <w:bottom w:val="none" w:sz="0" w:space="0" w:color="auto"/>
            <w:right w:val="none" w:sz="0" w:space="0" w:color="auto"/>
          </w:divBdr>
        </w:div>
        <w:div w:id="530193164">
          <w:marLeft w:val="0"/>
          <w:marRight w:val="0"/>
          <w:marTop w:val="0"/>
          <w:marBottom w:val="0"/>
          <w:divBdr>
            <w:top w:val="none" w:sz="0" w:space="0" w:color="auto"/>
            <w:left w:val="none" w:sz="0" w:space="0" w:color="auto"/>
            <w:bottom w:val="none" w:sz="0" w:space="0" w:color="auto"/>
            <w:right w:val="none" w:sz="0" w:space="0" w:color="auto"/>
          </w:divBdr>
        </w:div>
        <w:div w:id="1130592365">
          <w:marLeft w:val="0"/>
          <w:marRight w:val="0"/>
          <w:marTop w:val="0"/>
          <w:marBottom w:val="0"/>
          <w:divBdr>
            <w:top w:val="none" w:sz="0" w:space="0" w:color="auto"/>
            <w:left w:val="none" w:sz="0" w:space="0" w:color="auto"/>
            <w:bottom w:val="none" w:sz="0" w:space="0" w:color="auto"/>
            <w:right w:val="none" w:sz="0" w:space="0" w:color="auto"/>
          </w:divBdr>
        </w:div>
      </w:divsChild>
    </w:div>
    <w:div w:id="1117067527">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325088458">
      <w:bodyDiv w:val="1"/>
      <w:marLeft w:val="0"/>
      <w:marRight w:val="0"/>
      <w:marTop w:val="0"/>
      <w:marBottom w:val="0"/>
      <w:divBdr>
        <w:top w:val="none" w:sz="0" w:space="0" w:color="auto"/>
        <w:left w:val="none" w:sz="0" w:space="0" w:color="auto"/>
        <w:bottom w:val="none" w:sz="0" w:space="0" w:color="auto"/>
        <w:right w:val="none" w:sz="0" w:space="0" w:color="auto"/>
      </w:divBdr>
    </w:div>
    <w:div w:id="1459303521">
      <w:bodyDiv w:val="1"/>
      <w:marLeft w:val="0"/>
      <w:marRight w:val="0"/>
      <w:marTop w:val="0"/>
      <w:marBottom w:val="0"/>
      <w:divBdr>
        <w:top w:val="none" w:sz="0" w:space="0" w:color="auto"/>
        <w:left w:val="none" w:sz="0" w:space="0" w:color="auto"/>
        <w:bottom w:val="none" w:sz="0" w:space="0" w:color="auto"/>
        <w:right w:val="none" w:sz="0" w:space="0" w:color="auto"/>
      </w:divBdr>
      <w:divsChild>
        <w:div w:id="1351371196">
          <w:marLeft w:val="0"/>
          <w:marRight w:val="0"/>
          <w:marTop w:val="0"/>
          <w:marBottom w:val="0"/>
          <w:divBdr>
            <w:top w:val="none" w:sz="0" w:space="0" w:color="auto"/>
            <w:left w:val="none" w:sz="0" w:space="0" w:color="auto"/>
            <w:bottom w:val="none" w:sz="0" w:space="0" w:color="auto"/>
            <w:right w:val="none" w:sz="0" w:space="0" w:color="auto"/>
          </w:divBdr>
        </w:div>
        <w:div w:id="1385178050">
          <w:marLeft w:val="0"/>
          <w:marRight w:val="0"/>
          <w:marTop w:val="0"/>
          <w:marBottom w:val="0"/>
          <w:divBdr>
            <w:top w:val="none" w:sz="0" w:space="0" w:color="auto"/>
            <w:left w:val="none" w:sz="0" w:space="0" w:color="auto"/>
            <w:bottom w:val="none" w:sz="0" w:space="0" w:color="auto"/>
            <w:right w:val="none" w:sz="0" w:space="0" w:color="auto"/>
          </w:divBdr>
        </w:div>
        <w:div w:id="1950434771">
          <w:marLeft w:val="0"/>
          <w:marRight w:val="0"/>
          <w:marTop w:val="0"/>
          <w:marBottom w:val="0"/>
          <w:divBdr>
            <w:top w:val="none" w:sz="0" w:space="0" w:color="auto"/>
            <w:left w:val="none" w:sz="0" w:space="0" w:color="auto"/>
            <w:bottom w:val="none" w:sz="0" w:space="0" w:color="auto"/>
            <w:right w:val="none" w:sz="0" w:space="0" w:color="auto"/>
          </w:divBdr>
        </w:div>
      </w:divsChild>
    </w:div>
    <w:div w:id="1589384768">
      <w:bodyDiv w:val="1"/>
      <w:marLeft w:val="0"/>
      <w:marRight w:val="0"/>
      <w:marTop w:val="0"/>
      <w:marBottom w:val="0"/>
      <w:divBdr>
        <w:top w:val="none" w:sz="0" w:space="0" w:color="auto"/>
        <w:left w:val="none" w:sz="0" w:space="0" w:color="auto"/>
        <w:bottom w:val="none" w:sz="0" w:space="0" w:color="auto"/>
        <w:right w:val="none" w:sz="0" w:space="0" w:color="auto"/>
      </w:divBdr>
    </w:div>
    <w:div w:id="1634485684">
      <w:bodyDiv w:val="1"/>
      <w:marLeft w:val="0"/>
      <w:marRight w:val="0"/>
      <w:marTop w:val="0"/>
      <w:marBottom w:val="0"/>
      <w:divBdr>
        <w:top w:val="none" w:sz="0" w:space="0" w:color="auto"/>
        <w:left w:val="none" w:sz="0" w:space="0" w:color="auto"/>
        <w:bottom w:val="none" w:sz="0" w:space="0" w:color="auto"/>
        <w:right w:val="none" w:sz="0" w:space="0" w:color="auto"/>
      </w:divBdr>
    </w:div>
    <w:div w:id="1751847561">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88950696">
      <w:bodyDiv w:val="1"/>
      <w:marLeft w:val="0"/>
      <w:marRight w:val="0"/>
      <w:marTop w:val="0"/>
      <w:marBottom w:val="0"/>
      <w:divBdr>
        <w:top w:val="none" w:sz="0" w:space="0" w:color="auto"/>
        <w:left w:val="none" w:sz="0" w:space="0" w:color="auto"/>
        <w:bottom w:val="none" w:sz="0" w:space="0" w:color="auto"/>
        <w:right w:val="none" w:sz="0" w:space="0" w:color="auto"/>
      </w:divBdr>
    </w:div>
    <w:div w:id="2061711366">
      <w:bodyDiv w:val="1"/>
      <w:marLeft w:val="75"/>
      <w:marRight w:val="0"/>
      <w:marTop w:val="0"/>
      <w:marBottom w:val="0"/>
      <w:divBdr>
        <w:top w:val="none" w:sz="0" w:space="0" w:color="auto"/>
        <w:left w:val="none" w:sz="0" w:space="0" w:color="auto"/>
        <w:bottom w:val="none" w:sz="0" w:space="0" w:color="auto"/>
        <w:right w:val="none" w:sz="0" w:space="0" w:color="auto"/>
      </w:divBdr>
      <w:divsChild>
        <w:div w:id="479882384">
          <w:marLeft w:val="0"/>
          <w:marRight w:val="0"/>
          <w:marTop w:val="0"/>
          <w:marBottom w:val="0"/>
          <w:divBdr>
            <w:top w:val="none" w:sz="0" w:space="0" w:color="auto"/>
            <w:left w:val="none" w:sz="0" w:space="0" w:color="auto"/>
            <w:bottom w:val="none" w:sz="0" w:space="0" w:color="auto"/>
            <w:right w:val="none" w:sz="0" w:space="0" w:color="auto"/>
          </w:divBdr>
        </w:div>
        <w:div w:id="784815775">
          <w:marLeft w:val="0"/>
          <w:marRight w:val="0"/>
          <w:marTop w:val="0"/>
          <w:marBottom w:val="0"/>
          <w:divBdr>
            <w:top w:val="none" w:sz="0" w:space="0" w:color="auto"/>
            <w:left w:val="none" w:sz="0" w:space="0" w:color="auto"/>
            <w:bottom w:val="none" w:sz="0" w:space="0" w:color="auto"/>
            <w:right w:val="none" w:sz="0" w:space="0" w:color="auto"/>
          </w:divBdr>
        </w:div>
        <w:div w:id="1080326056">
          <w:marLeft w:val="0"/>
          <w:marRight w:val="0"/>
          <w:marTop w:val="0"/>
          <w:marBottom w:val="0"/>
          <w:divBdr>
            <w:top w:val="none" w:sz="0" w:space="0" w:color="auto"/>
            <w:left w:val="none" w:sz="0" w:space="0" w:color="auto"/>
            <w:bottom w:val="none" w:sz="0" w:space="0" w:color="auto"/>
            <w:right w:val="none" w:sz="0" w:space="0" w:color="auto"/>
          </w:divBdr>
        </w:div>
        <w:div w:id="183772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b@ebb-eu.or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fisc.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nfo@efisc.eu" TargetMode="External"/><Relationship Id="rId23" Type="http://schemas.openxmlformats.org/officeDocument/2006/relationships/hyperlink" Target="http://www.icrt-idtf.com/en/index.php" TargetMode="External"/><Relationship Id="rId10" Type="http://schemas.openxmlformats.org/officeDocument/2006/relationships/hyperlink" Target="http://www.starch.eu/" TargetMode="External"/><Relationship Id="rId19" Type="http://schemas.openxmlformats.org/officeDocument/2006/relationships/hyperlink" Target="http://www.hse.gov.uk/foi/internalops/hid_circs/enforcement/spc_enf_137/index.htm"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C:\Documents%20and%20Settings\PB\Local%20Settings\Temp\www.ebb-eu.org"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isc.eu/data/14168338154.%20Sector%20ref%20doc%20on%20oilseed%20crushing%20and%20veg%20oil%20refining%20version%203.1.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b\AppData\Roaming\Microsoft\Templates\LET%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9ED9-8E69-4C76-9113-E9A98DE4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 EN.dot</Template>
  <TotalTime>48</TotalTime>
  <Pages>24</Pages>
  <Words>4323</Words>
  <Characters>30826</Characters>
  <Application>Microsoft Office Word</Application>
  <DocSecurity>0</DocSecurity>
  <Lines>2055</Lines>
  <Paragraphs>639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EBB</vt:lpstr>
      <vt:lpstr>EBB</vt:lpstr>
    </vt:vector>
  </TitlesOfParts>
  <Company>Microsoft</Company>
  <LinksUpToDate>false</LinksUpToDate>
  <CharactersWithSpaces>34510</CharactersWithSpaces>
  <SharedDoc>false</SharedDoc>
  <HLinks>
    <vt:vector size="186" baseType="variant">
      <vt:variant>
        <vt:i4>1441887</vt:i4>
      </vt:variant>
      <vt:variant>
        <vt:i4>141</vt:i4>
      </vt:variant>
      <vt:variant>
        <vt:i4>0</vt:i4>
      </vt:variant>
      <vt:variant>
        <vt:i4>5</vt:i4>
      </vt:variant>
      <vt:variant>
        <vt:lpwstr>http://www.icrt-idtf.com/en/index.php</vt:lpwstr>
      </vt:variant>
      <vt:variant>
        <vt:lpwstr/>
      </vt:variant>
      <vt:variant>
        <vt:i4>1441887</vt:i4>
      </vt:variant>
      <vt:variant>
        <vt:i4>138</vt:i4>
      </vt:variant>
      <vt:variant>
        <vt:i4>0</vt:i4>
      </vt:variant>
      <vt:variant>
        <vt:i4>5</vt:i4>
      </vt:variant>
      <vt:variant>
        <vt:lpwstr>http://www.icrt-idtf.com/en/index.php</vt:lpwstr>
      </vt:variant>
      <vt:variant>
        <vt:lpwstr/>
      </vt:variant>
      <vt:variant>
        <vt:i4>8126543</vt:i4>
      </vt:variant>
      <vt:variant>
        <vt:i4>135</vt:i4>
      </vt:variant>
      <vt:variant>
        <vt:i4>0</vt:i4>
      </vt:variant>
      <vt:variant>
        <vt:i4>5</vt:i4>
      </vt:variant>
      <vt:variant>
        <vt:lpwstr>http://www.hse.gov.uk/foi/internalops/hid_circs/enforcement/spc_enf_137/index.htm</vt:lpwstr>
      </vt:variant>
      <vt:variant>
        <vt:lpwstr>appendix1</vt:lpwstr>
      </vt:variant>
      <vt:variant>
        <vt:i4>1310773</vt:i4>
      </vt:variant>
      <vt:variant>
        <vt:i4>128</vt:i4>
      </vt:variant>
      <vt:variant>
        <vt:i4>0</vt:i4>
      </vt:variant>
      <vt:variant>
        <vt:i4>5</vt:i4>
      </vt:variant>
      <vt:variant>
        <vt:lpwstr/>
      </vt:variant>
      <vt:variant>
        <vt:lpwstr>_Toc350504677</vt:lpwstr>
      </vt:variant>
      <vt:variant>
        <vt:i4>1376309</vt:i4>
      </vt:variant>
      <vt:variant>
        <vt:i4>122</vt:i4>
      </vt:variant>
      <vt:variant>
        <vt:i4>0</vt:i4>
      </vt:variant>
      <vt:variant>
        <vt:i4>5</vt:i4>
      </vt:variant>
      <vt:variant>
        <vt:lpwstr/>
      </vt:variant>
      <vt:variant>
        <vt:lpwstr>_Toc350504668</vt:lpwstr>
      </vt:variant>
      <vt:variant>
        <vt:i4>1376309</vt:i4>
      </vt:variant>
      <vt:variant>
        <vt:i4>116</vt:i4>
      </vt:variant>
      <vt:variant>
        <vt:i4>0</vt:i4>
      </vt:variant>
      <vt:variant>
        <vt:i4>5</vt:i4>
      </vt:variant>
      <vt:variant>
        <vt:lpwstr/>
      </vt:variant>
      <vt:variant>
        <vt:lpwstr>_Toc350504667</vt:lpwstr>
      </vt:variant>
      <vt:variant>
        <vt:i4>1376309</vt:i4>
      </vt:variant>
      <vt:variant>
        <vt:i4>110</vt:i4>
      </vt:variant>
      <vt:variant>
        <vt:i4>0</vt:i4>
      </vt:variant>
      <vt:variant>
        <vt:i4>5</vt:i4>
      </vt:variant>
      <vt:variant>
        <vt:lpwstr/>
      </vt:variant>
      <vt:variant>
        <vt:lpwstr>_Toc350504666</vt:lpwstr>
      </vt:variant>
      <vt:variant>
        <vt:i4>1376309</vt:i4>
      </vt:variant>
      <vt:variant>
        <vt:i4>104</vt:i4>
      </vt:variant>
      <vt:variant>
        <vt:i4>0</vt:i4>
      </vt:variant>
      <vt:variant>
        <vt:i4>5</vt:i4>
      </vt:variant>
      <vt:variant>
        <vt:lpwstr/>
      </vt:variant>
      <vt:variant>
        <vt:lpwstr>_Toc350504665</vt:lpwstr>
      </vt:variant>
      <vt:variant>
        <vt:i4>1376309</vt:i4>
      </vt:variant>
      <vt:variant>
        <vt:i4>98</vt:i4>
      </vt:variant>
      <vt:variant>
        <vt:i4>0</vt:i4>
      </vt:variant>
      <vt:variant>
        <vt:i4>5</vt:i4>
      </vt:variant>
      <vt:variant>
        <vt:lpwstr/>
      </vt:variant>
      <vt:variant>
        <vt:lpwstr>_Toc350504664</vt:lpwstr>
      </vt:variant>
      <vt:variant>
        <vt:i4>1376309</vt:i4>
      </vt:variant>
      <vt:variant>
        <vt:i4>92</vt:i4>
      </vt:variant>
      <vt:variant>
        <vt:i4>0</vt:i4>
      </vt:variant>
      <vt:variant>
        <vt:i4>5</vt:i4>
      </vt:variant>
      <vt:variant>
        <vt:lpwstr/>
      </vt:variant>
      <vt:variant>
        <vt:lpwstr>_Toc350504663</vt:lpwstr>
      </vt:variant>
      <vt:variant>
        <vt:i4>1376309</vt:i4>
      </vt:variant>
      <vt:variant>
        <vt:i4>86</vt:i4>
      </vt:variant>
      <vt:variant>
        <vt:i4>0</vt:i4>
      </vt:variant>
      <vt:variant>
        <vt:i4>5</vt:i4>
      </vt:variant>
      <vt:variant>
        <vt:lpwstr/>
      </vt:variant>
      <vt:variant>
        <vt:lpwstr>_Toc350504662</vt:lpwstr>
      </vt:variant>
      <vt:variant>
        <vt:i4>1376309</vt:i4>
      </vt:variant>
      <vt:variant>
        <vt:i4>80</vt:i4>
      </vt:variant>
      <vt:variant>
        <vt:i4>0</vt:i4>
      </vt:variant>
      <vt:variant>
        <vt:i4>5</vt:i4>
      </vt:variant>
      <vt:variant>
        <vt:lpwstr/>
      </vt:variant>
      <vt:variant>
        <vt:lpwstr>_Toc350504661</vt:lpwstr>
      </vt:variant>
      <vt:variant>
        <vt:i4>1376309</vt:i4>
      </vt:variant>
      <vt:variant>
        <vt:i4>74</vt:i4>
      </vt:variant>
      <vt:variant>
        <vt:i4>0</vt:i4>
      </vt:variant>
      <vt:variant>
        <vt:i4>5</vt:i4>
      </vt:variant>
      <vt:variant>
        <vt:lpwstr/>
      </vt:variant>
      <vt:variant>
        <vt:lpwstr>_Toc350504660</vt:lpwstr>
      </vt:variant>
      <vt:variant>
        <vt:i4>1441845</vt:i4>
      </vt:variant>
      <vt:variant>
        <vt:i4>68</vt:i4>
      </vt:variant>
      <vt:variant>
        <vt:i4>0</vt:i4>
      </vt:variant>
      <vt:variant>
        <vt:i4>5</vt:i4>
      </vt:variant>
      <vt:variant>
        <vt:lpwstr/>
      </vt:variant>
      <vt:variant>
        <vt:lpwstr>_Toc350504659</vt:lpwstr>
      </vt:variant>
      <vt:variant>
        <vt:i4>1441845</vt:i4>
      </vt:variant>
      <vt:variant>
        <vt:i4>62</vt:i4>
      </vt:variant>
      <vt:variant>
        <vt:i4>0</vt:i4>
      </vt:variant>
      <vt:variant>
        <vt:i4>5</vt:i4>
      </vt:variant>
      <vt:variant>
        <vt:lpwstr/>
      </vt:variant>
      <vt:variant>
        <vt:lpwstr>_Toc350504658</vt:lpwstr>
      </vt:variant>
      <vt:variant>
        <vt:i4>1441845</vt:i4>
      </vt:variant>
      <vt:variant>
        <vt:i4>56</vt:i4>
      </vt:variant>
      <vt:variant>
        <vt:i4>0</vt:i4>
      </vt:variant>
      <vt:variant>
        <vt:i4>5</vt:i4>
      </vt:variant>
      <vt:variant>
        <vt:lpwstr/>
      </vt:variant>
      <vt:variant>
        <vt:lpwstr>_Toc350504657</vt:lpwstr>
      </vt:variant>
      <vt:variant>
        <vt:i4>1441845</vt:i4>
      </vt:variant>
      <vt:variant>
        <vt:i4>50</vt:i4>
      </vt:variant>
      <vt:variant>
        <vt:i4>0</vt:i4>
      </vt:variant>
      <vt:variant>
        <vt:i4>5</vt:i4>
      </vt:variant>
      <vt:variant>
        <vt:lpwstr/>
      </vt:variant>
      <vt:variant>
        <vt:lpwstr>_Toc350504656</vt:lpwstr>
      </vt:variant>
      <vt:variant>
        <vt:i4>1441845</vt:i4>
      </vt:variant>
      <vt:variant>
        <vt:i4>44</vt:i4>
      </vt:variant>
      <vt:variant>
        <vt:i4>0</vt:i4>
      </vt:variant>
      <vt:variant>
        <vt:i4>5</vt:i4>
      </vt:variant>
      <vt:variant>
        <vt:lpwstr/>
      </vt:variant>
      <vt:variant>
        <vt:lpwstr>_Toc350504655</vt:lpwstr>
      </vt:variant>
      <vt:variant>
        <vt:i4>1441845</vt:i4>
      </vt:variant>
      <vt:variant>
        <vt:i4>38</vt:i4>
      </vt:variant>
      <vt:variant>
        <vt:i4>0</vt:i4>
      </vt:variant>
      <vt:variant>
        <vt:i4>5</vt:i4>
      </vt:variant>
      <vt:variant>
        <vt:lpwstr/>
      </vt:variant>
      <vt:variant>
        <vt:lpwstr>_Toc350504654</vt:lpwstr>
      </vt:variant>
      <vt:variant>
        <vt:i4>1441845</vt:i4>
      </vt:variant>
      <vt:variant>
        <vt:i4>32</vt:i4>
      </vt:variant>
      <vt:variant>
        <vt:i4>0</vt:i4>
      </vt:variant>
      <vt:variant>
        <vt:i4>5</vt:i4>
      </vt:variant>
      <vt:variant>
        <vt:lpwstr/>
      </vt:variant>
      <vt:variant>
        <vt:lpwstr>_Toc350504653</vt:lpwstr>
      </vt:variant>
      <vt:variant>
        <vt:i4>1441845</vt:i4>
      </vt:variant>
      <vt:variant>
        <vt:i4>26</vt:i4>
      </vt:variant>
      <vt:variant>
        <vt:i4>0</vt:i4>
      </vt:variant>
      <vt:variant>
        <vt:i4>5</vt:i4>
      </vt:variant>
      <vt:variant>
        <vt:lpwstr/>
      </vt:variant>
      <vt:variant>
        <vt:lpwstr>_Toc350504652</vt:lpwstr>
      </vt:variant>
      <vt:variant>
        <vt:i4>917534</vt:i4>
      </vt:variant>
      <vt:variant>
        <vt:i4>21</vt:i4>
      </vt:variant>
      <vt:variant>
        <vt:i4>0</vt:i4>
      </vt:variant>
      <vt:variant>
        <vt:i4>5</vt:i4>
      </vt:variant>
      <vt:variant>
        <vt:lpwstr>http://www.efisc.eu/</vt:lpwstr>
      </vt:variant>
      <vt:variant>
        <vt:lpwstr/>
      </vt:variant>
      <vt:variant>
        <vt:i4>6488129</vt:i4>
      </vt:variant>
      <vt:variant>
        <vt:i4>18</vt:i4>
      </vt:variant>
      <vt:variant>
        <vt:i4>0</vt:i4>
      </vt:variant>
      <vt:variant>
        <vt:i4>5</vt:i4>
      </vt:variant>
      <vt:variant>
        <vt:lpwstr>mailto:info@efisc.eu</vt:lpwstr>
      </vt:variant>
      <vt:variant>
        <vt:lpwstr/>
      </vt:variant>
      <vt:variant>
        <vt:i4>4194329</vt:i4>
      </vt:variant>
      <vt:variant>
        <vt:i4>15</vt:i4>
      </vt:variant>
      <vt:variant>
        <vt:i4>0</vt:i4>
      </vt:variant>
      <vt:variant>
        <vt:i4>5</vt:i4>
      </vt:variant>
      <vt:variant>
        <vt:lpwstr>../Local Settings/Temp/www.ebb-eu.org</vt:lpwstr>
      </vt:variant>
      <vt:variant>
        <vt:lpwstr/>
      </vt:variant>
      <vt:variant>
        <vt:i4>5963837</vt:i4>
      </vt:variant>
      <vt:variant>
        <vt:i4>12</vt:i4>
      </vt:variant>
      <vt:variant>
        <vt:i4>0</vt:i4>
      </vt:variant>
      <vt:variant>
        <vt:i4>5</vt:i4>
      </vt:variant>
      <vt:variant>
        <vt:lpwstr>mailto:ebb@ebb-eu.org</vt:lpwstr>
      </vt:variant>
      <vt:variant>
        <vt:lpwstr/>
      </vt:variant>
      <vt:variant>
        <vt:i4>3801186</vt:i4>
      </vt:variant>
      <vt:variant>
        <vt:i4>6</vt:i4>
      </vt:variant>
      <vt:variant>
        <vt:i4>0</vt:i4>
      </vt:variant>
      <vt:variant>
        <vt:i4>5</vt:i4>
      </vt:variant>
      <vt:variant>
        <vt:lpwstr>http://www.ebb-eu.org/</vt:lpwstr>
      </vt:variant>
      <vt:variant>
        <vt:lpwstr/>
      </vt:variant>
      <vt:variant>
        <vt:i4>1900629</vt:i4>
      </vt:variant>
      <vt:variant>
        <vt:i4>3</vt:i4>
      </vt:variant>
      <vt:variant>
        <vt:i4>0</vt:i4>
      </vt:variant>
      <vt:variant>
        <vt:i4>5</vt:i4>
      </vt:variant>
      <vt:variant>
        <vt:lpwstr>http://www.fediol.eu/</vt:lpwstr>
      </vt:variant>
      <vt:variant>
        <vt:lpwstr/>
      </vt:variant>
      <vt:variant>
        <vt:i4>3801185</vt:i4>
      </vt:variant>
      <vt:variant>
        <vt:i4>0</vt:i4>
      </vt:variant>
      <vt:variant>
        <vt:i4>0</vt:i4>
      </vt:variant>
      <vt:variant>
        <vt:i4>5</vt:i4>
      </vt:variant>
      <vt:variant>
        <vt:lpwstr>http://www.aaf-eu.org/</vt:lpwstr>
      </vt:variant>
      <vt:variant>
        <vt:lpwstr/>
      </vt:variant>
      <vt:variant>
        <vt:i4>393268</vt:i4>
      </vt:variant>
      <vt:variant>
        <vt:i4>0</vt:i4>
      </vt:variant>
      <vt:variant>
        <vt:i4>0</vt:i4>
      </vt:variant>
      <vt:variant>
        <vt:i4>5</vt:i4>
      </vt:variant>
      <vt:variant>
        <vt:lpwstr>http://www.efisc.eu/data/1342020514Sector document oilseed and proteinmeal industry_version-2-2-1_16-02-11 update hyperlinks 9_7.pdf</vt:lpwstr>
      </vt:variant>
      <vt:variant>
        <vt:lpwstr/>
      </vt:variant>
      <vt:variant>
        <vt:i4>7667816</vt:i4>
      </vt:variant>
      <vt:variant>
        <vt:i4>3</vt:i4>
      </vt:variant>
      <vt:variant>
        <vt:i4>0</vt:i4>
      </vt:variant>
      <vt:variant>
        <vt:i4>5</vt:i4>
      </vt:variant>
      <vt:variant>
        <vt:lpwstr/>
      </vt:variant>
      <vt:variant>
        <vt:lpwstr>Content</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EBB</dc:title>
  <dc:creator>ebb</dc:creator>
  <cp:lastModifiedBy>PAJULAMPI Tarja (DGT)</cp:lastModifiedBy>
  <cp:revision>21</cp:revision>
  <cp:lastPrinted>2014-12-15T16:02:00Z</cp:lastPrinted>
  <dcterms:created xsi:type="dcterms:W3CDTF">2015-10-27T15:41:00Z</dcterms:created>
  <dcterms:modified xsi:type="dcterms:W3CDTF">2015-12-17T10:32:00Z</dcterms:modified>
</cp:coreProperties>
</file>